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MSP outsourcing RFP</w:t>
      </w:r>
    </w:p>
    <w:p>
      <w:r>
        <w:t>Editable buyer template | Pack revision 1.3 - 2026-10-19</w:t>
      </w:r>
    </w:p>
    <w:p>
      <w:r>
        <w:t>Complete your requirements and send the same scope to each candidate. Blank commercial terms are unknown, not zero. This is a planning template, not a service agreement. No provider response is prefilled.</w:t>
      </w:r>
    </w:p>
    <w:p>
      <w:r>
        <w:t>Version 1.3 - 2026-10-19</w:t>
      </w:r>
    </w:p>
    <w:p>
      <w:r>
        <w:t>This vendor-neutral template helps an MSP request comparable NOC, help desk, white-label, and after-hours proposals. Replace bracketed fields. Remove sections outside the intended scope. Do not include client credentials or confidential ticket data.</w:t>
      </w:r>
    </w:p>
    <w:p>
      <w:pPr>
        <w:pStyle w:val="Heading1"/>
      </w:pPr>
      <w:r>
        <w:t>1. Buyer and process</w:t>
      </w:r>
    </w:p>
    <w:p>
      <w:pPr>
        <w:pStyle w:val="ListBullet"/>
      </w:pPr>
      <w:r>
        <w:t>MSP legal name - [NAME]</w:t>
      </w:r>
    </w:p>
    <w:p>
      <w:pPr>
        <w:pStyle w:val="ListBullet"/>
      </w:pPr>
      <w:r>
        <w:t>Operating regions - [REGIONS]</w:t>
      </w:r>
    </w:p>
    <w:p>
      <w:pPr>
        <w:pStyle w:val="ListBullet"/>
      </w:pPr>
      <w:r>
        <w:t>Proposal contact - [CONTACT]</w:t>
      </w:r>
    </w:p>
    <w:p>
      <w:pPr>
        <w:pStyle w:val="ListBullet"/>
      </w:pPr>
      <w:r>
        <w:t>Questions due - [DATE]</w:t>
      </w:r>
    </w:p>
    <w:p>
      <w:pPr>
        <w:pStyle w:val="ListBullet"/>
      </w:pPr>
      <w:r>
        <w:t>Proposal due - [DATE]</w:t>
      </w:r>
    </w:p>
    <w:p>
      <w:pPr>
        <w:pStyle w:val="ListBullet"/>
      </w:pPr>
      <w:r>
        <w:t>Target pilot start - [DATE]</w:t>
      </w:r>
    </w:p>
    <w:p>
      <w:pPr>
        <w:pStyle w:val="ListBullet"/>
      </w:pPr>
      <w:r>
        <w:t>Target production start - [DATE]</w:t>
      </w:r>
    </w:p>
    <w:p>
      <w:pPr>
        <w:pStyle w:val="ListBullet"/>
      </w:pPr>
      <w:r>
        <w:t>Proposal validity period - [DAYS]</w:t>
      </w:r>
    </w:p>
    <w:p>
      <w:pPr>
        <w:pStyle w:val="ListBullet"/>
      </w:pPr>
      <w:r>
        <w:t>Required response format - complete the matched response table and attach evidence</w:t>
      </w:r>
    </w:p>
    <w:p>
      <w:pPr>
        <w:pStyle w:val="Heading1"/>
      </w:pPr>
      <w:r>
        <w:t>2. Environment profile</w:t>
      </w:r>
    </w:p>
    <w:tbl>
      <w:tblPr>
        <w:tblStyle w:val="TableGrid"/>
        <w:tblW w:type="auto" w:w="0"/>
        <w:tblLayout w:type="fixed"/>
        <w:tblLook w:firstColumn="1" w:firstRow="1" w:lastColumn="0" w:lastRow="0" w:noHBand="0" w:noVBand="1" w:val="04A0"/>
      </w:tblPr>
      <w:tblGrid>
        <w:gridCol w:w="7455"/>
        <w:gridCol w:w="7455"/>
      </w:tblGrid>
      <w:tr>
        <w:trPr>
          <w:cantSplit/>
          <w:tblHeader/>
        </w:trPr>
        <w:tc>
          <w:tcPr>
            <w:tcW w:type="dxa" w:w="7455"/>
            <w:shd w:fill="273027" w:val="clear"/>
          </w:tcPr>
          <w:p>
            <w:pPr>
              <w:spacing w:after="80"/>
            </w:pPr>
            <w:r>
              <w:rPr>
                <w:b/>
                <w:color w:val="FFFFFF"/>
                <w:sz w:val="20"/>
              </w:rPr>
              <w:t>Field</w:t>
            </w:r>
          </w:p>
        </w:tc>
        <w:tc>
          <w:tcPr>
            <w:tcW w:type="dxa" w:w="7455"/>
            <w:shd w:fill="273027" w:val="clear"/>
          </w:tcPr>
          <w:p>
            <w:pPr>
              <w:spacing w:after="80"/>
            </w:pPr>
            <w:r>
              <w:rPr>
                <w:b/>
                <w:color w:val="FFFFFF"/>
                <w:sz w:val="20"/>
              </w:rPr>
              <w:t>Buyer input</w:t>
            </w:r>
          </w:p>
        </w:tc>
      </w:tr>
      <w:tr>
        <w:trPr>
          <w:cantSplit/>
        </w:trPr>
        <w:tc>
          <w:tcPr>
            <w:tcW w:type="dxa" w:w="7455"/>
          </w:tcPr>
          <w:p>
            <w:pPr>
              <w:spacing w:after="80"/>
            </w:pPr>
            <w:r>
              <w:rPr>
                <w:sz w:val="20"/>
              </w:rPr>
              <w:t>Managed clients</w:t>
            </w:r>
          </w:p>
        </w:tc>
        <w:tc>
          <w:tcPr>
            <w:tcW w:type="dxa" w:w="7455"/>
          </w:tcPr>
          <w:p>
            <w:pPr>
              <w:spacing w:after="80"/>
            </w:pPr>
            <w:r>
              <w:rPr>
                <w:sz w:val="20"/>
              </w:rPr>
              <w:t>[COUNT OR BAND]</w:t>
            </w:r>
          </w:p>
        </w:tc>
      </w:tr>
      <w:tr>
        <w:trPr>
          <w:cantSplit/>
        </w:trPr>
        <w:tc>
          <w:tcPr>
            <w:tcW w:type="dxa" w:w="7455"/>
          </w:tcPr>
          <w:p>
            <w:pPr>
              <w:spacing w:after="80"/>
            </w:pPr>
            <w:r>
              <w:rPr>
                <w:sz w:val="20"/>
              </w:rPr>
              <w:t>End users</w:t>
            </w:r>
          </w:p>
        </w:tc>
        <w:tc>
          <w:tcPr>
            <w:tcW w:type="dxa" w:w="7455"/>
          </w:tcPr>
          <w:p>
            <w:pPr>
              <w:spacing w:after="80"/>
            </w:pPr>
            <w:r>
              <w:rPr>
                <w:sz w:val="20"/>
              </w:rPr>
              <w:t>[COUNT OR BAND]</w:t>
            </w:r>
          </w:p>
        </w:tc>
      </w:tr>
      <w:tr>
        <w:trPr>
          <w:cantSplit/>
        </w:trPr>
        <w:tc>
          <w:tcPr>
            <w:tcW w:type="dxa" w:w="7455"/>
          </w:tcPr>
          <w:p>
            <w:pPr>
              <w:spacing w:after="80"/>
            </w:pPr>
            <w:r>
              <w:rPr>
                <w:sz w:val="20"/>
              </w:rPr>
              <w:t>Endpoints</w:t>
            </w:r>
          </w:p>
        </w:tc>
        <w:tc>
          <w:tcPr>
            <w:tcW w:type="dxa" w:w="7455"/>
          </w:tcPr>
          <w:p>
            <w:pPr>
              <w:spacing w:after="80"/>
            </w:pPr>
            <w:r>
              <w:rPr>
                <w:sz w:val="20"/>
              </w:rPr>
              <w:t>[COUNT OR BAND]</w:t>
            </w:r>
          </w:p>
        </w:tc>
      </w:tr>
      <w:tr>
        <w:trPr>
          <w:cantSplit/>
        </w:trPr>
        <w:tc>
          <w:tcPr>
            <w:tcW w:type="dxa" w:w="7455"/>
          </w:tcPr>
          <w:p>
            <w:pPr>
              <w:spacing w:after="80"/>
            </w:pPr>
            <w:r>
              <w:rPr>
                <w:sz w:val="20"/>
              </w:rPr>
              <w:t>Servers</w:t>
            </w:r>
          </w:p>
        </w:tc>
        <w:tc>
          <w:tcPr>
            <w:tcW w:type="dxa" w:w="7455"/>
          </w:tcPr>
          <w:p>
            <w:pPr>
              <w:spacing w:after="80"/>
            </w:pPr>
            <w:r>
              <w:rPr>
                <w:sz w:val="20"/>
              </w:rPr>
              <w:t>[COUNT OR BAND]</w:t>
            </w:r>
          </w:p>
        </w:tc>
      </w:tr>
      <w:tr>
        <w:trPr>
          <w:cantSplit/>
        </w:trPr>
        <w:tc>
          <w:tcPr>
            <w:tcW w:type="dxa" w:w="7455"/>
          </w:tcPr>
          <w:p>
            <w:pPr>
              <w:spacing w:after="80"/>
            </w:pPr>
            <w:r>
              <w:rPr>
                <w:sz w:val="20"/>
              </w:rPr>
              <w:t>Network devices</w:t>
            </w:r>
          </w:p>
        </w:tc>
        <w:tc>
          <w:tcPr>
            <w:tcW w:type="dxa" w:w="7455"/>
          </w:tcPr>
          <w:p>
            <w:pPr>
              <w:spacing w:after="80"/>
            </w:pPr>
            <w:r>
              <w:rPr>
                <w:sz w:val="20"/>
              </w:rPr>
              <w:t>[COUNT OR BAND]</w:t>
            </w:r>
          </w:p>
        </w:tc>
      </w:tr>
      <w:tr>
        <w:trPr>
          <w:cantSplit/>
        </w:trPr>
        <w:tc>
          <w:tcPr>
            <w:tcW w:type="dxa" w:w="7455"/>
          </w:tcPr>
          <w:p>
            <w:pPr>
              <w:spacing w:after="80"/>
            </w:pPr>
            <w:r>
              <w:rPr>
                <w:sz w:val="20"/>
              </w:rPr>
              <w:t>Supported timezones</w:t>
            </w:r>
          </w:p>
        </w:tc>
        <w:tc>
          <w:tcPr>
            <w:tcW w:type="dxa" w:w="7455"/>
          </w:tcPr>
          <w:p>
            <w:pPr>
              <w:spacing w:after="80"/>
            </w:pPr>
            <w:r>
              <w:rPr>
                <w:sz w:val="20"/>
              </w:rPr>
              <w:t>[TIMEZONES]</w:t>
            </w:r>
          </w:p>
        </w:tc>
      </w:tr>
      <w:tr>
        <w:trPr>
          <w:cantSplit/>
        </w:trPr>
        <w:tc>
          <w:tcPr>
            <w:tcW w:type="dxa" w:w="7455"/>
          </w:tcPr>
          <w:p>
            <w:pPr>
              <w:spacing w:after="80"/>
            </w:pPr>
            <w:r>
              <w:rPr>
                <w:sz w:val="20"/>
              </w:rPr>
              <w:t>Required languages</w:t>
            </w:r>
          </w:p>
        </w:tc>
        <w:tc>
          <w:tcPr>
            <w:tcW w:type="dxa" w:w="7455"/>
          </w:tcPr>
          <w:p>
            <w:pPr>
              <w:spacing w:after="80"/>
            </w:pPr>
            <w:r>
              <w:rPr>
                <w:sz w:val="20"/>
              </w:rPr>
              <w:t>[LANGUAGES]</w:t>
            </w:r>
          </w:p>
        </w:tc>
      </w:tr>
      <w:tr>
        <w:trPr>
          <w:cantSplit/>
        </w:trPr>
        <w:tc>
          <w:tcPr>
            <w:tcW w:type="dxa" w:w="7455"/>
          </w:tcPr>
          <w:p>
            <w:pPr>
              <w:spacing w:after="80"/>
            </w:pPr>
            <w:r>
              <w:rPr>
                <w:sz w:val="20"/>
              </w:rPr>
              <w:t>PSA</w:t>
            </w:r>
          </w:p>
        </w:tc>
        <w:tc>
          <w:tcPr>
            <w:tcW w:type="dxa" w:w="7455"/>
          </w:tcPr>
          <w:p>
            <w:pPr>
              <w:spacing w:after="80"/>
            </w:pPr>
            <w:r>
              <w:rPr>
                <w:sz w:val="20"/>
              </w:rPr>
              <w:t>[PLATFORM AND VERSION]</w:t>
            </w:r>
          </w:p>
        </w:tc>
      </w:tr>
      <w:tr>
        <w:trPr>
          <w:cantSplit/>
        </w:trPr>
        <w:tc>
          <w:tcPr>
            <w:tcW w:type="dxa" w:w="7455"/>
          </w:tcPr>
          <w:p>
            <w:pPr>
              <w:spacing w:after="80"/>
            </w:pPr>
            <w:r>
              <w:rPr>
                <w:sz w:val="20"/>
              </w:rPr>
              <w:t>RMM</w:t>
            </w:r>
          </w:p>
        </w:tc>
        <w:tc>
          <w:tcPr>
            <w:tcW w:type="dxa" w:w="7455"/>
          </w:tcPr>
          <w:p>
            <w:pPr>
              <w:spacing w:after="80"/>
            </w:pPr>
            <w:r>
              <w:rPr>
                <w:sz w:val="20"/>
              </w:rPr>
              <w:t>[PLATFORM AND VERSION]</w:t>
            </w:r>
          </w:p>
        </w:tc>
      </w:tr>
      <w:tr>
        <w:trPr>
          <w:cantSplit/>
        </w:trPr>
        <w:tc>
          <w:tcPr>
            <w:tcW w:type="dxa" w:w="7455"/>
          </w:tcPr>
          <w:p>
            <w:pPr>
              <w:spacing w:after="80"/>
            </w:pPr>
            <w:r>
              <w:rPr>
                <w:sz w:val="20"/>
              </w:rPr>
              <w:t>Documentation platform</w:t>
            </w:r>
          </w:p>
        </w:tc>
        <w:tc>
          <w:tcPr>
            <w:tcW w:type="dxa" w:w="7455"/>
          </w:tcPr>
          <w:p>
            <w:pPr>
              <w:spacing w:after="80"/>
            </w:pPr>
            <w:r>
              <w:rPr>
                <w:sz w:val="20"/>
              </w:rPr>
              <w:t>[PLATFORM]</w:t>
            </w:r>
          </w:p>
        </w:tc>
      </w:tr>
      <w:tr>
        <w:trPr>
          <w:cantSplit/>
        </w:trPr>
        <w:tc>
          <w:tcPr>
            <w:tcW w:type="dxa" w:w="7455"/>
          </w:tcPr>
          <w:p>
            <w:pPr>
              <w:spacing w:after="80"/>
            </w:pPr>
            <w:r>
              <w:rPr>
                <w:sz w:val="20"/>
              </w:rPr>
              <w:t>Identity platform</w:t>
            </w:r>
          </w:p>
        </w:tc>
        <w:tc>
          <w:tcPr>
            <w:tcW w:type="dxa" w:w="7455"/>
          </w:tcPr>
          <w:p>
            <w:pPr>
              <w:spacing w:after="80"/>
            </w:pPr>
            <w:r>
              <w:rPr>
                <w:sz w:val="20"/>
              </w:rPr>
              <w:t>[PLATFORM]</w:t>
            </w:r>
          </w:p>
        </w:tc>
      </w:tr>
      <w:tr>
        <w:trPr>
          <w:cantSplit/>
        </w:trPr>
        <w:tc>
          <w:tcPr>
            <w:tcW w:type="dxa" w:w="7455"/>
          </w:tcPr>
          <w:p>
            <w:pPr>
              <w:spacing w:after="80"/>
            </w:pPr>
            <w:r>
              <w:rPr>
                <w:sz w:val="20"/>
              </w:rPr>
              <w:t>Remote access method</w:t>
            </w:r>
          </w:p>
        </w:tc>
        <w:tc>
          <w:tcPr>
            <w:tcW w:type="dxa" w:w="7455"/>
          </w:tcPr>
          <w:p>
            <w:pPr>
              <w:spacing w:after="80"/>
            </w:pPr>
            <w:r>
              <w:rPr>
                <w:sz w:val="20"/>
              </w:rPr>
              <w:t>[METHOD]</w:t>
            </w:r>
          </w:p>
        </w:tc>
      </w:tr>
    </w:tbl>
    <w:p/>
    <w:p>
      <w:pPr>
        <w:pStyle w:val="Heading1"/>
      </w:pPr>
      <w:r>
        <w:t>3. Required service scope</w:t>
      </w:r>
    </w:p>
    <w:p>
      <w:r>
        <w:t>For each row mark required, optional, or excluded. The provider must state the exact boundary and escalation point.</w:t>
      </w:r>
    </w:p>
    <w:tbl>
      <w:tblPr>
        <w:tblStyle w:val="TableGrid"/>
        <w:tblW w:type="auto" w:w="0"/>
        <w:tblLayout w:type="fixed"/>
        <w:tblLook w:firstColumn="1" w:firstRow="1" w:lastColumn="0" w:lastRow="0" w:noHBand="0" w:noVBand="1" w:val="04A0"/>
      </w:tblPr>
      <w:tblGrid>
        <w:gridCol w:w="3727"/>
        <w:gridCol w:w="3727"/>
        <w:gridCol w:w="3727"/>
        <w:gridCol w:w="3727"/>
      </w:tblGrid>
      <w:tr>
        <w:trPr>
          <w:cantSplit/>
          <w:tblHeader/>
        </w:trPr>
        <w:tc>
          <w:tcPr>
            <w:tcW w:type="dxa" w:w="3728"/>
            <w:shd w:fill="273027" w:val="clear"/>
          </w:tcPr>
          <w:p>
            <w:pPr>
              <w:spacing w:after="80"/>
            </w:pPr>
            <w:r>
              <w:rPr>
                <w:b/>
                <w:color w:val="FFFFFF"/>
                <w:sz w:val="20"/>
              </w:rPr>
              <w:t>Function</w:t>
            </w:r>
          </w:p>
        </w:tc>
        <w:tc>
          <w:tcPr>
            <w:tcW w:type="dxa" w:w="3728"/>
            <w:shd w:fill="273027" w:val="clear"/>
          </w:tcPr>
          <w:p>
            <w:pPr>
              <w:spacing w:after="80"/>
            </w:pPr>
            <w:r>
              <w:rPr>
                <w:b/>
                <w:color w:val="FFFFFF"/>
                <w:sz w:val="20"/>
              </w:rPr>
              <w:t>Buyer requirement</w:t>
            </w:r>
          </w:p>
        </w:tc>
        <w:tc>
          <w:tcPr>
            <w:tcW w:type="dxa" w:w="3728"/>
            <w:shd w:fill="273027" w:val="clear"/>
          </w:tcPr>
          <w:p>
            <w:pPr>
              <w:spacing w:after="80"/>
            </w:pPr>
            <w:r>
              <w:rPr>
                <w:b/>
                <w:color w:val="FFFFFF"/>
                <w:sz w:val="20"/>
              </w:rPr>
              <w:t>Provider response</w:t>
            </w:r>
          </w:p>
        </w:tc>
        <w:tc>
          <w:tcPr>
            <w:tcW w:type="dxa" w:w="3728"/>
            <w:shd w:fill="273027" w:val="clear"/>
          </w:tcPr>
          <w:p>
            <w:pPr>
              <w:spacing w:after="80"/>
            </w:pPr>
            <w:r>
              <w:rPr>
                <w:b/>
                <w:color w:val="FFFFFF"/>
                <w:sz w:val="20"/>
              </w:rPr>
              <w:t>Evidence</w:t>
            </w:r>
          </w:p>
        </w:tc>
      </w:tr>
      <w:tr>
        <w:trPr>
          <w:cantSplit/>
        </w:trPr>
        <w:tc>
          <w:tcPr>
            <w:tcW w:type="dxa" w:w="3728"/>
          </w:tcPr>
          <w:p>
            <w:pPr>
              <w:spacing w:after="80"/>
            </w:pPr>
            <w:r>
              <w:rPr>
                <w:sz w:val="20"/>
              </w:rPr>
              <w:t>Alert intake and deduplication</w:t>
            </w:r>
          </w:p>
        </w:tc>
        <w:tc>
          <w:tcPr>
            <w:tcW w:type="dxa" w:w="3728"/>
          </w:tcPr>
          <w:p>
            <w:pPr>
              <w:spacing w:after="80"/>
            </w:pPr>
            <w:r>
              <w:rPr>
                <w:sz w:val="20"/>
              </w:rPr>
              <w:t>[STATE]</w:t>
            </w:r>
          </w:p>
        </w:tc>
        <w:tc>
          <w:tcPr>
            <w:tcW w:type="dxa" w:w="3728"/>
          </w:tcPr>
          <w:p>
            <w:pPr>
              <w:spacing w:after="80"/>
            </w:pPr>
            <w:r>
              <w:rPr>
                <w:sz w:val="20"/>
              </w:rPr>
            </w:r>
          </w:p>
        </w:tc>
        <w:tc>
          <w:tcPr>
            <w:tcW w:type="dxa" w:w="3728"/>
          </w:tcPr>
          <w:p>
            <w:pPr>
              <w:spacing w:after="80"/>
            </w:pPr>
            <w:r>
              <w:rPr>
                <w:sz w:val="20"/>
              </w:rPr>
            </w:r>
          </w:p>
        </w:tc>
      </w:tr>
      <w:tr>
        <w:trPr>
          <w:cantSplit/>
        </w:trPr>
        <w:tc>
          <w:tcPr>
            <w:tcW w:type="dxa" w:w="3728"/>
          </w:tcPr>
          <w:p>
            <w:pPr>
              <w:spacing w:after="80"/>
            </w:pPr>
            <w:r>
              <w:rPr>
                <w:sz w:val="20"/>
              </w:rPr>
              <w:t>Alert triage</w:t>
            </w:r>
          </w:p>
        </w:tc>
        <w:tc>
          <w:tcPr>
            <w:tcW w:type="dxa" w:w="3728"/>
          </w:tcPr>
          <w:p>
            <w:pPr>
              <w:spacing w:after="80"/>
            </w:pPr>
            <w:r>
              <w:rPr>
                <w:sz w:val="20"/>
              </w:rPr>
              <w:t>[STATE]</w:t>
            </w:r>
          </w:p>
        </w:tc>
        <w:tc>
          <w:tcPr>
            <w:tcW w:type="dxa" w:w="3728"/>
          </w:tcPr>
          <w:p>
            <w:pPr>
              <w:spacing w:after="80"/>
            </w:pPr>
            <w:r>
              <w:rPr>
                <w:sz w:val="20"/>
              </w:rPr>
            </w:r>
          </w:p>
        </w:tc>
        <w:tc>
          <w:tcPr>
            <w:tcW w:type="dxa" w:w="3728"/>
          </w:tcPr>
          <w:p>
            <w:pPr>
              <w:spacing w:after="80"/>
            </w:pPr>
            <w:r>
              <w:rPr>
                <w:sz w:val="20"/>
              </w:rPr>
            </w:r>
          </w:p>
        </w:tc>
      </w:tr>
      <w:tr>
        <w:trPr>
          <w:cantSplit/>
        </w:trPr>
        <w:tc>
          <w:tcPr>
            <w:tcW w:type="dxa" w:w="3728"/>
          </w:tcPr>
          <w:p>
            <w:pPr>
              <w:spacing w:after="80"/>
            </w:pPr>
            <w:r>
              <w:rPr>
                <w:sz w:val="20"/>
              </w:rPr>
              <w:t>Automated remediation</w:t>
            </w:r>
          </w:p>
        </w:tc>
        <w:tc>
          <w:tcPr>
            <w:tcW w:type="dxa" w:w="3728"/>
          </w:tcPr>
          <w:p>
            <w:pPr>
              <w:spacing w:after="80"/>
            </w:pPr>
            <w:r>
              <w:rPr>
                <w:sz w:val="20"/>
              </w:rPr>
              <w:t>[STATE]</w:t>
            </w:r>
          </w:p>
        </w:tc>
        <w:tc>
          <w:tcPr>
            <w:tcW w:type="dxa" w:w="3728"/>
          </w:tcPr>
          <w:p>
            <w:pPr>
              <w:spacing w:after="80"/>
            </w:pPr>
            <w:r>
              <w:rPr>
                <w:sz w:val="20"/>
              </w:rPr>
            </w:r>
          </w:p>
        </w:tc>
        <w:tc>
          <w:tcPr>
            <w:tcW w:type="dxa" w:w="3728"/>
          </w:tcPr>
          <w:p>
            <w:pPr>
              <w:spacing w:after="80"/>
            </w:pPr>
            <w:r>
              <w:rPr>
                <w:sz w:val="20"/>
              </w:rPr>
            </w:r>
          </w:p>
        </w:tc>
      </w:tr>
      <w:tr>
        <w:trPr>
          <w:cantSplit/>
        </w:trPr>
        <w:tc>
          <w:tcPr>
            <w:tcW w:type="dxa" w:w="3728"/>
          </w:tcPr>
          <w:p>
            <w:pPr>
              <w:spacing w:after="80"/>
            </w:pPr>
            <w:r>
              <w:rPr>
                <w:sz w:val="20"/>
              </w:rPr>
              <w:t>Technician remediation</w:t>
            </w:r>
          </w:p>
        </w:tc>
        <w:tc>
          <w:tcPr>
            <w:tcW w:type="dxa" w:w="3728"/>
          </w:tcPr>
          <w:p>
            <w:pPr>
              <w:spacing w:after="80"/>
            </w:pPr>
            <w:r>
              <w:rPr>
                <w:sz w:val="20"/>
              </w:rPr>
              <w:t>[STATE]</w:t>
            </w:r>
          </w:p>
        </w:tc>
        <w:tc>
          <w:tcPr>
            <w:tcW w:type="dxa" w:w="3728"/>
          </w:tcPr>
          <w:p>
            <w:pPr>
              <w:spacing w:after="80"/>
            </w:pPr>
            <w:r>
              <w:rPr>
                <w:sz w:val="20"/>
              </w:rPr>
            </w:r>
          </w:p>
        </w:tc>
        <w:tc>
          <w:tcPr>
            <w:tcW w:type="dxa" w:w="3728"/>
          </w:tcPr>
          <w:p>
            <w:pPr>
              <w:spacing w:after="80"/>
            </w:pPr>
            <w:r>
              <w:rPr>
                <w:sz w:val="20"/>
              </w:rPr>
            </w:r>
          </w:p>
        </w:tc>
      </w:tr>
      <w:tr>
        <w:trPr>
          <w:cantSplit/>
        </w:trPr>
        <w:tc>
          <w:tcPr>
            <w:tcW w:type="dxa" w:w="3728"/>
          </w:tcPr>
          <w:p>
            <w:pPr>
              <w:spacing w:after="80"/>
            </w:pPr>
            <w:r>
              <w:rPr>
                <w:sz w:val="20"/>
              </w:rPr>
              <w:t>Patch management</w:t>
            </w:r>
          </w:p>
        </w:tc>
        <w:tc>
          <w:tcPr>
            <w:tcW w:type="dxa" w:w="3728"/>
          </w:tcPr>
          <w:p>
            <w:pPr>
              <w:spacing w:after="80"/>
            </w:pPr>
            <w:r>
              <w:rPr>
                <w:sz w:val="20"/>
              </w:rPr>
              <w:t>[STATE]</w:t>
            </w:r>
          </w:p>
        </w:tc>
        <w:tc>
          <w:tcPr>
            <w:tcW w:type="dxa" w:w="3728"/>
          </w:tcPr>
          <w:p>
            <w:pPr>
              <w:spacing w:after="80"/>
            </w:pPr>
            <w:r>
              <w:rPr>
                <w:sz w:val="20"/>
              </w:rPr>
            </w:r>
          </w:p>
        </w:tc>
        <w:tc>
          <w:tcPr>
            <w:tcW w:type="dxa" w:w="3728"/>
          </w:tcPr>
          <w:p>
            <w:pPr>
              <w:spacing w:after="80"/>
            </w:pPr>
            <w:r>
              <w:rPr>
                <w:sz w:val="20"/>
              </w:rPr>
            </w:r>
          </w:p>
        </w:tc>
      </w:tr>
      <w:tr>
        <w:trPr>
          <w:cantSplit/>
        </w:trPr>
        <w:tc>
          <w:tcPr>
            <w:tcW w:type="dxa" w:w="3728"/>
          </w:tcPr>
          <w:p>
            <w:pPr>
              <w:spacing w:after="80"/>
            </w:pPr>
            <w:r>
              <w:rPr>
                <w:sz w:val="20"/>
              </w:rPr>
              <w:t>Backup monitoring</w:t>
            </w:r>
          </w:p>
        </w:tc>
        <w:tc>
          <w:tcPr>
            <w:tcW w:type="dxa" w:w="3728"/>
          </w:tcPr>
          <w:p>
            <w:pPr>
              <w:spacing w:after="80"/>
            </w:pPr>
            <w:r>
              <w:rPr>
                <w:sz w:val="20"/>
              </w:rPr>
              <w:t>[STATE]</w:t>
            </w:r>
          </w:p>
        </w:tc>
        <w:tc>
          <w:tcPr>
            <w:tcW w:type="dxa" w:w="3728"/>
          </w:tcPr>
          <w:p>
            <w:pPr>
              <w:spacing w:after="80"/>
            </w:pPr>
            <w:r>
              <w:rPr>
                <w:sz w:val="20"/>
              </w:rPr>
            </w:r>
          </w:p>
        </w:tc>
        <w:tc>
          <w:tcPr>
            <w:tcW w:type="dxa" w:w="3728"/>
          </w:tcPr>
          <w:p>
            <w:pPr>
              <w:spacing w:after="80"/>
            </w:pPr>
            <w:r>
              <w:rPr>
                <w:sz w:val="20"/>
              </w:rPr>
            </w:r>
          </w:p>
        </w:tc>
      </w:tr>
      <w:tr>
        <w:trPr>
          <w:cantSplit/>
        </w:trPr>
        <w:tc>
          <w:tcPr>
            <w:tcW w:type="dxa" w:w="3728"/>
          </w:tcPr>
          <w:p>
            <w:pPr>
              <w:spacing w:after="80"/>
            </w:pPr>
            <w:r>
              <w:rPr>
                <w:sz w:val="20"/>
              </w:rPr>
              <w:t>L1 help desk</w:t>
            </w:r>
          </w:p>
        </w:tc>
        <w:tc>
          <w:tcPr>
            <w:tcW w:type="dxa" w:w="3728"/>
          </w:tcPr>
          <w:p>
            <w:pPr>
              <w:spacing w:after="80"/>
            </w:pPr>
            <w:r>
              <w:rPr>
                <w:sz w:val="20"/>
              </w:rPr>
              <w:t>[STATE]</w:t>
            </w:r>
          </w:p>
        </w:tc>
        <w:tc>
          <w:tcPr>
            <w:tcW w:type="dxa" w:w="3728"/>
          </w:tcPr>
          <w:p>
            <w:pPr>
              <w:spacing w:after="80"/>
            </w:pPr>
            <w:r>
              <w:rPr>
                <w:sz w:val="20"/>
              </w:rPr>
            </w:r>
          </w:p>
        </w:tc>
        <w:tc>
          <w:tcPr>
            <w:tcW w:type="dxa" w:w="3728"/>
          </w:tcPr>
          <w:p>
            <w:pPr>
              <w:spacing w:after="80"/>
            </w:pPr>
            <w:r>
              <w:rPr>
                <w:sz w:val="20"/>
              </w:rPr>
            </w:r>
          </w:p>
        </w:tc>
      </w:tr>
      <w:tr>
        <w:trPr>
          <w:cantSplit/>
        </w:trPr>
        <w:tc>
          <w:tcPr>
            <w:tcW w:type="dxa" w:w="3728"/>
          </w:tcPr>
          <w:p>
            <w:pPr>
              <w:spacing w:after="80"/>
            </w:pPr>
            <w:r>
              <w:rPr>
                <w:sz w:val="20"/>
              </w:rPr>
              <w:t>L2 help desk</w:t>
            </w:r>
          </w:p>
        </w:tc>
        <w:tc>
          <w:tcPr>
            <w:tcW w:type="dxa" w:w="3728"/>
          </w:tcPr>
          <w:p>
            <w:pPr>
              <w:spacing w:after="80"/>
            </w:pPr>
            <w:r>
              <w:rPr>
                <w:sz w:val="20"/>
              </w:rPr>
              <w:t>[STATE]</w:t>
            </w:r>
          </w:p>
        </w:tc>
        <w:tc>
          <w:tcPr>
            <w:tcW w:type="dxa" w:w="3728"/>
          </w:tcPr>
          <w:p>
            <w:pPr>
              <w:spacing w:after="80"/>
            </w:pPr>
            <w:r>
              <w:rPr>
                <w:sz w:val="20"/>
              </w:rPr>
            </w:r>
          </w:p>
        </w:tc>
        <w:tc>
          <w:tcPr>
            <w:tcW w:type="dxa" w:w="3728"/>
          </w:tcPr>
          <w:p>
            <w:pPr>
              <w:spacing w:after="80"/>
            </w:pPr>
            <w:r>
              <w:rPr>
                <w:sz w:val="20"/>
              </w:rPr>
            </w:r>
          </w:p>
        </w:tc>
      </w:tr>
      <w:tr>
        <w:trPr>
          <w:cantSplit/>
        </w:trPr>
        <w:tc>
          <w:tcPr>
            <w:tcW w:type="dxa" w:w="3728"/>
          </w:tcPr>
          <w:p>
            <w:pPr>
              <w:spacing w:after="80"/>
            </w:pPr>
            <w:r>
              <w:rPr>
                <w:sz w:val="20"/>
              </w:rPr>
              <w:t>L3 escalation</w:t>
            </w:r>
          </w:p>
        </w:tc>
        <w:tc>
          <w:tcPr>
            <w:tcW w:type="dxa" w:w="3728"/>
          </w:tcPr>
          <w:p>
            <w:pPr>
              <w:spacing w:after="80"/>
            </w:pPr>
            <w:r>
              <w:rPr>
                <w:sz w:val="20"/>
              </w:rPr>
              <w:t>[STATE]</w:t>
            </w:r>
          </w:p>
        </w:tc>
        <w:tc>
          <w:tcPr>
            <w:tcW w:type="dxa" w:w="3728"/>
          </w:tcPr>
          <w:p>
            <w:pPr>
              <w:spacing w:after="80"/>
            </w:pPr>
            <w:r>
              <w:rPr>
                <w:sz w:val="20"/>
              </w:rPr>
            </w:r>
          </w:p>
        </w:tc>
        <w:tc>
          <w:tcPr>
            <w:tcW w:type="dxa" w:w="3728"/>
          </w:tcPr>
          <w:p>
            <w:pPr>
              <w:spacing w:after="80"/>
            </w:pPr>
            <w:r>
              <w:rPr>
                <w:sz w:val="20"/>
              </w:rPr>
            </w:r>
          </w:p>
        </w:tc>
      </w:tr>
      <w:tr>
        <w:trPr>
          <w:cantSplit/>
        </w:trPr>
        <w:tc>
          <w:tcPr>
            <w:tcW w:type="dxa" w:w="3728"/>
          </w:tcPr>
          <w:p>
            <w:pPr>
              <w:spacing w:after="80"/>
            </w:pPr>
            <w:r>
              <w:rPr>
                <w:sz w:val="20"/>
              </w:rPr>
              <w:t>Phone support</w:t>
            </w:r>
          </w:p>
        </w:tc>
        <w:tc>
          <w:tcPr>
            <w:tcW w:type="dxa" w:w="3728"/>
          </w:tcPr>
          <w:p>
            <w:pPr>
              <w:spacing w:after="80"/>
            </w:pPr>
            <w:r>
              <w:rPr>
                <w:sz w:val="20"/>
              </w:rPr>
              <w:t>[STATE]</w:t>
            </w:r>
          </w:p>
        </w:tc>
        <w:tc>
          <w:tcPr>
            <w:tcW w:type="dxa" w:w="3728"/>
          </w:tcPr>
          <w:p>
            <w:pPr>
              <w:spacing w:after="80"/>
            </w:pPr>
            <w:r>
              <w:rPr>
                <w:sz w:val="20"/>
              </w:rPr>
            </w:r>
          </w:p>
        </w:tc>
        <w:tc>
          <w:tcPr>
            <w:tcW w:type="dxa" w:w="3728"/>
          </w:tcPr>
          <w:p>
            <w:pPr>
              <w:spacing w:after="80"/>
            </w:pPr>
            <w:r>
              <w:rPr>
                <w:sz w:val="20"/>
              </w:rPr>
            </w:r>
          </w:p>
        </w:tc>
      </w:tr>
      <w:tr>
        <w:trPr>
          <w:cantSplit/>
        </w:trPr>
        <w:tc>
          <w:tcPr>
            <w:tcW w:type="dxa" w:w="3728"/>
          </w:tcPr>
          <w:p>
            <w:pPr>
              <w:spacing w:after="80"/>
            </w:pPr>
            <w:r>
              <w:rPr>
                <w:sz w:val="20"/>
              </w:rPr>
              <w:t>Email support</w:t>
            </w:r>
          </w:p>
        </w:tc>
        <w:tc>
          <w:tcPr>
            <w:tcW w:type="dxa" w:w="3728"/>
          </w:tcPr>
          <w:p>
            <w:pPr>
              <w:spacing w:after="80"/>
            </w:pPr>
            <w:r>
              <w:rPr>
                <w:sz w:val="20"/>
              </w:rPr>
              <w:t>[STATE]</w:t>
            </w:r>
          </w:p>
        </w:tc>
        <w:tc>
          <w:tcPr>
            <w:tcW w:type="dxa" w:w="3728"/>
          </w:tcPr>
          <w:p>
            <w:pPr>
              <w:spacing w:after="80"/>
            </w:pPr>
            <w:r>
              <w:rPr>
                <w:sz w:val="20"/>
              </w:rPr>
            </w:r>
          </w:p>
        </w:tc>
        <w:tc>
          <w:tcPr>
            <w:tcW w:type="dxa" w:w="3728"/>
          </w:tcPr>
          <w:p>
            <w:pPr>
              <w:spacing w:after="80"/>
            </w:pPr>
            <w:r>
              <w:rPr>
                <w:sz w:val="20"/>
              </w:rPr>
            </w:r>
          </w:p>
        </w:tc>
      </w:tr>
      <w:tr>
        <w:trPr>
          <w:cantSplit/>
        </w:trPr>
        <w:tc>
          <w:tcPr>
            <w:tcW w:type="dxa" w:w="3728"/>
          </w:tcPr>
          <w:p>
            <w:pPr>
              <w:spacing w:after="80"/>
            </w:pPr>
            <w:r>
              <w:rPr>
                <w:sz w:val="20"/>
              </w:rPr>
              <w:t>Portal support</w:t>
            </w:r>
          </w:p>
        </w:tc>
        <w:tc>
          <w:tcPr>
            <w:tcW w:type="dxa" w:w="3728"/>
          </w:tcPr>
          <w:p>
            <w:pPr>
              <w:spacing w:after="80"/>
            </w:pPr>
            <w:r>
              <w:rPr>
                <w:sz w:val="20"/>
              </w:rPr>
              <w:t>[STATE]</w:t>
            </w:r>
          </w:p>
        </w:tc>
        <w:tc>
          <w:tcPr>
            <w:tcW w:type="dxa" w:w="3728"/>
          </w:tcPr>
          <w:p>
            <w:pPr>
              <w:spacing w:after="80"/>
            </w:pPr>
            <w:r>
              <w:rPr>
                <w:sz w:val="20"/>
              </w:rPr>
            </w:r>
          </w:p>
        </w:tc>
        <w:tc>
          <w:tcPr>
            <w:tcW w:type="dxa" w:w="3728"/>
          </w:tcPr>
          <w:p>
            <w:pPr>
              <w:spacing w:after="80"/>
            </w:pPr>
            <w:r>
              <w:rPr>
                <w:sz w:val="20"/>
              </w:rPr>
            </w:r>
          </w:p>
        </w:tc>
      </w:tr>
      <w:tr>
        <w:trPr>
          <w:cantSplit/>
        </w:trPr>
        <w:tc>
          <w:tcPr>
            <w:tcW w:type="dxa" w:w="3728"/>
          </w:tcPr>
          <w:p>
            <w:pPr>
              <w:spacing w:after="80"/>
            </w:pPr>
            <w:r>
              <w:rPr>
                <w:sz w:val="20"/>
              </w:rPr>
              <w:t>Chat support</w:t>
            </w:r>
          </w:p>
        </w:tc>
        <w:tc>
          <w:tcPr>
            <w:tcW w:type="dxa" w:w="3728"/>
          </w:tcPr>
          <w:p>
            <w:pPr>
              <w:spacing w:after="80"/>
            </w:pPr>
            <w:r>
              <w:rPr>
                <w:sz w:val="20"/>
              </w:rPr>
              <w:t>[STATE]</w:t>
            </w:r>
          </w:p>
        </w:tc>
        <w:tc>
          <w:tcPr>
            <w:tcW w:type="dxa" w:w="3728"/>
          </w:tcPr>
          <w:p>
            <w:pPr>
              <w:spacing w:after="80"/>
            </w:pPr>
            <w:r>
              <w:rPr>
                <w:sz w:val="20"/>
              </w:rPr>
            </w:r>
          </w:p>
        </w:tc>
        <w:tc>
          <w:tcPr>
            <w:tcW w:type="dxa" w:w="3728"/>
          </w:tcPr>
          <w:p>
            <w:pPr>
              <w:spacing w:after="80"/>
            </w:pPr>
            <w:r>
              <w:rPr>
                <w:sz w:val="20"/>
              </w:rPr>
            </w:r>
          </w:p>
        </w:tc>
      </w:tr>
      <w:tr>
        <w:trPr>
          <w:cantSplit/>
        </w:trPr>
        <w:tc>
          <w:tcPr>
            <w:tcW w:type="dxa" w:w="3728"/>
          </w:tcPr>
          <w:p>
            <w:pPr>
              <w:spacing w:after="80"/>
            </w:pPr>
            <w:r>
              <w:rPr>
                <w:sz w:val="20"/>
              </w:rPr>
              <w:t>After-hours coverage</w:t>
            </w:r>
          </w:p>
        </w:tc>
        <w:tc>
          <w:tcPr>
            <w:tcW w:type="dxa" w:w="3728"/>
          </w:tcPr>
          <w:p>
            <w:pPr>
              <w:spacing w:after="80"/>
            </w:pPr>
            <w:r>
              <w:rPr>
                <w:sz w:val="20"/>
              </w:rPr>
              <w:t>[STATE]</w:t>
            </w:r>
          </w:p>
        </w:tc>
        <w:tc>
          <w:tcPr>
            <w:tcW w:type="dxa" w:w="3728"/>
          </w:tcPr>
          <w:p>
            <w:pPr>
              <w:spacing w:after="80"/>
            </w:pPr>
            <w:r>
              <w:rPr>
                <w:sz w:val="20"/>
              </w:rPr>
            </w:r>
          </w:p>
        </w:tc>
        <w:tc>
          <w:tcPr>
            <w:tcW w:type="dxa" w:w="3728"/>
          </w:tcPr>
          <w:p>
            <w:pPr>
              <w:spacing w:after="80"/>
            </w:pPr>
            <w:r>
              <w:rPr>
                <w:sz w:val="20"/>
              </w:rPr>
            </w:r>
          </w:p>
        </w:tc>
      </w:tr>
      <w:tr>
        <w:trPr>
          <w:cantSplit/>
        </w:trPr>
        <w:tc>
          <w:tcPr>
            <w:tcW w:type="dxa" w:w="3728"/>
          </w:tcPr>
          <w:p>
            <w:pPr>
              <w:spacing w:after="80"/>
            </w:pPr>
            <w:r>
              <w:rPr>
                <w:sz w:val="20"/>
              </w:rPr>
              <w:t>Weekend and holiday coverage</w:t>
            </w:r>
          </w:p>
        </w:tc>
        <w:tc>
          <w:tcPr>
            <w:tcW w:type="dxa" w:w="3728"/>
          </w:tcPr>
          <w:p>
            <w:pPr>
              <w:spacing w:after="80"/>
            </w:pPr>
            <w:r>
              <w:rPr>
                <w:sz w:val="20"/>
              </w:rPr>
              <w:t>[STATE]</w:t>
            </w:r>
          </w:p>
        </w:tc>
        <w:tc>
          <w:tcPr>
            <w:tcW w:type="dxa" w:w="3728"/>
          </w:tcPr>
          <w:p>
            <w:pPr>
              <w:spacing w:after="80"/>
            </w:pPr>
            <w:r>
              <w:rPr>
                <w:sz w:val="20"/>
              </w:rPr>
            </w:r>
          </w:p>
        </w:tc>
        <w:tc>
          <w:tcPr>
            <w:tcW w:type="dxa" w:w="3728"/>
          </w:tcPr>
          <w:p>
            <w:pPr>
              <w:spacing w:after="80"/>
            </w:pPr>
            <w:r>
              <w:rPr>
                <w:sz w:val="20"/>
              </w:rPr>
            </w:r>
          </w:p>
        </w:tc>
      </w:tr>
      <w:tr>
        <w:trPr>
          <w:cantSplit/>
        </w:trPr>
        <w:tc>
          <w:tcPr>
            <w:tcW w:type="dxa" w:w="3728"/>
          </w:tcPr>
          <w:p>
            <w:pPr>
              <w:spacing w:after="80"/>
            </w:pPr>
            <w:r>
              <w:rPr>
                <w:sz w:val="20"/>
              </w:rPr>
              <w:t>Vendor coordination</w:t>
            </w:r>
          </w:p>
        </w:tc>
        <w:tc>
          <w:tcPr>
            <w:tcW w:type="dxa" w:w="3728"/>
          </w:tcPr>
          <w:p>
            <w:pPr>
              <w:spacing w:after="80"/>
            </w:pPr>
            <w:r>
              <w:rPr>
                <w:sz w:val="20"/>
              </w:rPr>
              <w:t>[STATE]</w:t>
            </w:r>
          </w:p>
        </w:tc>
        <w:tc>
          <w:tcPr>
            <w:tcW w:type="dxa" w:w="3728"/>
          </w:tcPr>
          <w:p>
            <w:pPr>
              <w:spacing w:after="80"/>
            </w:pPr>
            <w:r>
              <w:rPr>
                <w:sz w:val="20"/>
              </w:rPr>
            </w:r>
          </w:p>
        </w:tc>
        <w:tc>
          <w:tcPr>
            <w:tcW w:type="dxa" w:w="3728"/>
          </w:tcPr>
          <w:p>
            <w:pPr>
              <w:spacing w:after="80"/>
            </w:pPr>
            <w:r>
              <w:rPr>
                <w:sz w:val="20"/>
              </w:rPr>
            </w:r>
          </w:p>
        </w:tc>
      </w:tr>
      <w:tr>
        <w:trPr>
          <w:cantSplit/>
        </w:trPr>
        <w:tc>
          <w:tcPr>
            <w:tcW w:type="dxa" w:w="3728"/>
          </w:tcPr>
          <w:p>
            <w:pPr>
              <w:spacing w:after="80"/>
            </w:pPr>
            <w:r>
              <w:rPr>
                <w:sz w:val="20"/>
              </w:rPr>
              <w:t>On-site dispatch coordination</w:t>
            </w:r>
          </w:p>
        </w:tc>
        <w:tc>
          <w:tcPr>
            <w:tcW w:type="dxa" w:w="3728"/>
          </w:tcPr>
          <w:p>
            <w:pPr>
              <w:spacing w:after="80"/>
            </w:pPr>
            <w:r>
              <w:rPr>
                <w:sz w:val="20"/>
              </w:rPr>
              <w:t>[STATE]</w:t>
            </w:r>
          </w:p>
        </w:tc>
        <w:tc>
          <w:tcPr>
            <w:tcW w:type="dxa" w:w="3728"/>
          </w:tcPr>
          <w:p>
            <w:pPr>
              <w:spacing w:after="80"/>
            </w:pPr>
            <w:r>
              <w:rPr>
                <w:sz w:val="20"/>
              </w:rPr>
            </w:r>
          </w:p>
        </w:tc>
        <w:tc>
          <w:tcPr>
            <w:tcW w:type="dxa" w:w="3728"/>
          </w:tcPr>
          <w:p>
            <w:pPr>
              <w:spacing w:after="80"/>
            </w:pPr>
            <w:r>
              <w:rPr>
                <w:sz w:val="20"/>
              </w:rPr>
            </w:r>
          </w:p>
        </w:tc>
      </w:tr>
    </w:tbl>
    <w:p/>
    <w:p>
      <w:pPr>
        <w:pStyle w:val="Heading1"/>
      </w:pPr>
      <w:r>
        <w:t>4. Delivery and branding</w:t>
      </w:r>
    </w:p>
    <w:p>
      <w:r>
        <w:t>The provider must describe:</w:t>
      </w:r>
    </w:p>
    <w:p>
      <w:pPr>
        <w:pStyle w:val="ListBullet"/>
      </w:pPr>
      <w:r>
        <w:t>shared, dedicated, overflow, or hybrid staffing</w:t>
      </w:r>
    </w:p>
    <w:p>
      <w:pPr>
        <w:pStyle w:val="ListBullet"/>
      </w:pPr>
      <w:r>
        <w:t>service-delivery locations and timezone coverage</w:t>
      </w:r>
    </w:p>
    <w:p>
      <w:pPr>
        <w:pStyle w:val="ListBullet"/>
      </w:pPr>
      <w:r>
        <w:t>direct end-user contact policy</w:t>
      </w:r>
    </w:p>
    <w:p>
      <w:pPr>
        <w:pStyle w:val="ListBullet"/>
      </w:pPr>
      <w:r>
        <w:t>phone greeting, email domain, portal, and caller ID branding</w:t>
      </w:r>
    </w:p>
    <w:p>
      <w:pPr>
        <w:pStyle w:val="ListBullet"/>
      </w:pPr>
      <w:r>
        <w:t>ownership of tickets, documentation, scripts, and recordings</w:t>
      </w:r>
    </w:p>
    <w:p>
      <w:pPr>
        <w:pStyle w:val="ListBullet"/>
      </w:pPr>
      <w:r>
        <w:t>use of subcontractors</w:t>
      </w:r>
    </w:p>
    <w:p>
      <w:pPr>
        <w:pStyle w:val="ListBullet"/>
      </w:pPr>
      <w:r>
        <w:t>background-check and training practices</w:t>
      </w:r>
    </w:p>
    <w:p>
      <w:pPr>
        <w:pStyle w:val="ListBullet"/>
      </w:pPr>
      <w:r>
        <w:t>client-specific runbook handling</w:t>
      </w:r>
    </w:p>
    <w:p>
      <w:pPr>
        <w:pStyle w:val="ListBullet"/>
      </w:pPr>
      <w:r>
        <w:t>conflict escalation and executive escalation</w:t>
      </w:r>
    </w:p>
    <w:p>
      <w:pPr>
        <w:pStyle w:val="Heading1"/>
      </w:pPr>
      <w:r>
        <w:t>5. SLA response table</w:t>
      </w:r>
    </w:p>
    <w:tbl>
      <w:tblPr>
        <w:tblStyle w:val="TableGrid"/>
        <w:tblW w:type="auto" w:w="0"/>
        <w:tblLayout w:type="fixed"/>
        <w:tblLook w:firstColumn="1" w:firstRow="1" w:lastColumn="0" w:lastRow="0" w:noHBand="0" w:noVBand="1" w:val="04A0"/>
      </w:tblPr>
      <w:tblGrid>
        <w:gridCol w:w="1491"/>
        <w:gridCol w:w="1491"/>
        <w:gridCol w:w="1491"/>
        <w:gridCol w:w="1491"/>
        <w:gridCol w:w="1491"/>
        <w:gridCol w:w="1491"/>
        <w:gridCol w:w="1491"/>
        <w:gridCol w:w="1491"/>
        <w:gridCol w:w="1491"/>
        <w:gridCol w:w="1491"/>
      </w:tblGrid>
      <w:tr>
        <w:trPr>
          <w:cantSplit/>
          <w:tblHeader/>
        </w:trPr>
        <w:tc>
          <w:tcPr>
            <w:tcW w:type="dxa" w:w="1491"/>
            <w:shd w:fill="273027" w:val="clear"/>
          </w:tcPr>
          <w:p>
            <w:pPr>
              <w:spacing w:after="80"/>
            </w:pPr>
            <w:r>
              <w:rPr>
                <w:b/>
                <w:color w:val="FFFFFF"/>
                <w:sz w:val="20"/>
              </w:rPr>
              <w:t>Severity</w:t>
            </w:r>
          </w:p>
        </w:tc>
        <w:tc>
          <w:tcPr>
            <w:tcW w:type="dxa" w:w="1491"/>
            <w:shd w:fill="273027" w:val="clear"/>
          </w:tcPr>
          <w:p>
            <w:pPr>
              <w:spacing w:after="80"/>
            </w:pPr>
            <w:r>
              <w:rPr>
                <w:b/>
                <w:color w:val="FFFFFF"/>
                <w:sz w:val="20"/>
              </w:rPr>
              <w:t>Operational definition</w:t>
            </w:r>
          </w:p>
        </w:tc>
        <w:tc>
          <w:tcPr>
            <w:tcW w:type="dxa" w:w="1491"/>
            <w:shd w:fill="273027" w:val="clear"/>
          </w:tcPr>
          <w:p>
            <w:pPr>
              <w:spacing w:after="80"/>
            </w:pPr>
            <w:r>
              <w:rPr>
                <w:b/>
                <w:color w:val="FFFFFF"/>
                <w:sz w:val="20"/>
              </w:rPr>
              <w:t>Service window</w:t>
            </w:r>
          </w:p>
        </w:tc>
        <w:tc>
          <w:tcPr>
            <w:tcW w:type="dxa" w:w="1491"/>
            <w:shd w:fill="273027" w:val="clear"/>
          </w:tcPr>
          <w:p>
            <w:pPr>
              <w:spacing w:after="80"/>
            </w:pPr>
            <w:r>
              <w:rPr>
                <w:b/>
                <w:color w:val="FFFFFF"/>
                <w:sz w:val="20"/>
              </w:rPr>
              <w:t>Acknowledgement</w:t>
            </w:r>
          </w:p>
        </w:tc>
        <w:tc>
          <w:tcPr>
            <w:tcW w:type="dxa" w:w="1491"/>
            <w:shd w:fill="273027" w:val="clear"/>
          </w:tcPr>
          <w:p>
            <w:pPr>
              <w:spacing w:after="80"/>
            </w:pPr>
            <w:r>
              <w:rPr>
                <w:b/>
                <w:color w:val="FFFFFF"/>
                <w:sz w:val="20"/>
              </w:rPr>
              <w:t>Work start</w:t>
            </w:r>
          </w:p>
        </w:tc>
        <w:tc>
          <w:tcPr>
            <w:tcW w:type="dxa" w:w="1491"/>
            <w:shd w:fill="273027" w:val="clear"/>
          </w:tcPr>
          <w:p>
            <w:pPr>
              <w:spacing w:after="80"/>
            </w:pPr>
            <w:r>
              <w:rPr>
                <w:b/>
                <w:color w:val="FFFFFF"/>
                <w:sz w:val="20"/>
              </w:rPr>
              <w:t>Mitigation</w:t>
            </w:r>
          </w:p>
        </w:tc>
        <w:tc>
          <w:tcPr>
            <w:tcW w:type="dxa" w:w="1491"/>
            <w:shd w:fill="273027" w:val="clear"/>
          </w:tcPr>
          <w:p>
            <w:pPr>
              <w:spacing w:after="80"/>
            </w:pPr>
            <w:r>
              <w:rPr>
                <w:b/>
                <w:color w:val="FFFFFF"/>
                <w:sz w:val="20"/>
              </w:rPr>
              <w:t>Restore</w:t>
            </w:r>
          </w:p>
        </w:tc>
        <w:tc>
          <w:tcPr>
            <w:tcW w:type="dxa" w:w="1491"/>
            <w:shd w:fill="273027" w:val="clear"/>
          </w:tcPr>
          <w:p>
            <w:pPr>
              <w:spacing w:after="80"/>
            </w:pPr>
            <w:r>
              <w:rPr>
                <w:b/>
                <w:color w:val="FFFFFF"/>
                <w:sz w:val="20"/>
              </w:rPr>
              <w:t>Resolution</w:t>
            </w:r>
          </w:p>
        </w:tc>
        <w:tc>
          <w:tcPr>
            <w:tcW w:type="dxa" w:w="1491"/>
            <w:shd w:fill="273027" w:val="clear"/>
          </w:tcPr>
          <w:p>
            <w:pPr>
              <w:spacing w:after="80"/>
            </w:pPr>
            <w:r>
              <w:rPr>
                <w:b/>
                <w:color w:val="FFFFFF"/>
                <w:sz w:val="20"/>
              </w:rPr>
              <w:t>Escalation</w:t>
            </w:r>
          </w:p>
        </w:tc>
        <w:tc>
          <w:tcPr>
            <w:tcW w:type="dxa" w:w="1491"/>
            <w:shd w:fill="273027" w:val="clear"/>
          </w:tcPr>
          <w:p>
            <w:pPr>
              <w:spacing w:after="80"/>
            </w:pPr>
            <w:r>
              <w:rPr>
                <w:b/>
                <w:color w:val="FFFFFF"/>
                <w:sz w:val="20"/>
              </w:rPr>
              <w:t>Exclusions</w:t>
            </w:r>
          </w:p>
        </w:tc>
      </w:tr>
      <w:tr>
        <w:trPr>
          <w:cantSplit/>
        </w:trPr>
        <w:tc>
          <w:tcPr>
            <w:tcW w:type="dxa" w:w="1491"/>
          </w:tcPr>
          <w:p>
            <w:pPr>
              <w:spacing w:after="80"/>
            </w:pPr>
            <w:r>
              <w:rPr>
                <w:sz w:val="20"/>
              </w:rPr>
              <w:t>P1</w:t>
            </w:r>
          </w:p>
        </w:tc>
        <w:tc>
          <w:tcPr>
            <w:tcW w:type="dxa" w:w="1491"/>
          </w:tcPr>
          <w:p>
            <w:pPr>
              <w:spacing w:after="80"/>
            </w:pPr>
            <w:r>
              <w:rPr>
                <w:sz w:val="20"/>
              </w:rPr>
              <w:t>[DEFINE IMPACT]</w:t>
            </w:r>
          </w:p>
        </w:tc>
        <w:tc>
          <w:tcPr>
            <w:tcW w:type="dxa" w:w="1491"/>
          </w:tcPr>
          <w:p>
            <w:pPr>
              <w:spacing w:after="80"/>
            </w:pPr>
            <w:r>
              <w:rPr>
                <w:sz w:val="20"/>
              </w:rPr>
              <w:t>[WINDOW]</w:t>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r>
      <w:tr>
        <w:trPr>
          <w:cantSplit/>
        </w:trPr>
        <w:tc>
          <w:tcPr>
            <w:tcW w:type="dxa" w:w="1491"/>
          </w:tcPr>
          <w:p>
            <w:pPr>
              <w:spacing w:after="80"/>
            </w:pPr>
            <w:r>
              <w:rPr>
                <w:sz w:val="20"/>
              </w:rPr>
              <w:t>P2</w:t>
            </w:r>
          </w:p>
        </w:tc>
        <w:tc>
          <w:tcPr>
            <w:tcW w:type="dxa" w:w="1491"/>
          </w:tcPr>
          <w:p>
            <w:pPr>
              <w:spacing w:after="80"/>
            </w:pPr>
            <w:r>
              <w:rPr>
                <w:sz w:val="20"/>
              </w:rPr>
              <w:t>[DEFINE IMPACT]</w:t>
            </w:r>
          </w:p>
        </w:tc>
        <w:tc>
          <w:tcPr>
            <w:tcW w:type="dxa" w:w="1491"/>
          </w:tcPr>
          <w:p>
            <w:pPr>
              <w:spacing w:after="80"/>
            </w:pPr>
            <w:r>
              <w:rPr>
                <w:sz w:val="20"/>
              </w:rPr>
              <w:t>[WINDOW]</w:t>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r>
      <w:tr>
        <w:trPr>
          <w:cantSplit/>
        </w:trPr>
        <w:tc>
          <w:tcPr>
            <w:tcW w:type="dxa" w:w="1491"/>
          </w:tcPr>
          <w:p>
            <w:pPr>
              <w:spacing w:after="80"/>
            </w:pPr>
            <w:r>
              <w:rPr>
                <w:sz w:val="20"/>
              </w:rPr>
              <w:t>P3</w:t>
            </w:r>
          </w:p>
        </w:tc>
        <w:tc>
          <w:tcPr>
            <w:tcW w:type="dxa" w:w="1491"/>
          </w:tcPr>
          <w:p>
            <w:pPr>
              <w:spacing w:after="80"/>
            </w:pPr>
            <w:r>
              <w:rPr>
                <w:sz w:val="20"/>
              </w:rPr>
              <w:t>[DEFINE IMPACT]</w:t>
            </w:r>
          </w:p>
        </w:tc>
        <w:tc>
          <w:tcPr>
            <w:tcW w:type="dxa" w:w="1491"/>
          </w:tcPr>
          <w:p>
            <w:pPr>
              <w:spacing w:after="80"/>
            </w:pPr>
            <w:r>
              <w:rPr>
                <w:sz w:val="20"/>
              </w:rPr>
              <w:t>[WINDOW]</w:t>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r>
      <w:tr>
        <w:trPr>
          <w:cantSplit/>
        </w:trPr>
        <w:tc>
          <w:tcPr>
            <w:tcW w:type="dxa" w:w="1491"/>
          </w:tcPr>
          <w:p>
            <w:pPr>
              <w:spacing w:after="80"/>
            </w:pPr>
            <w:r>
              <w:rPr>
                <w:sz w:val="20"/>
              </w:rPr>
              <w:t>P4</w:t>
            </w:r>
          </w:p>
        </w:tc>
        <w:tc>
          <w:tcPr>
            <w:tcW w:type="dxa" w:w="1491"/>
          </w:tcPr>
          <w:p>
            <w:pPr>
              <w:spacing w:after="80"/>
            </w:pPr>
            <w:r>
              <w:rPr>
                <w:sz w:val="20"/>
              </w:rPr>
              <w:t>[DEFINE IMPACT]</w:t>
            </w:r>
          </w:p>
        </w:tc>
        <w:tc>
          <w:tcPr>
            <w:tcW w:type="dxa" w:w="1491"/>
          </w:tcPr>
          <w:p>
            <w:pPr>
              <w:spacing w:after="80"/>
            </w:pPr>
            <w:r>
              <w:rPr>
                <w:sz w:val="20"/>
              </w:rPr>
              <w:t>[WINDOW]</w:t>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r>
    </w:tbl>
    <w:p/>
    <w:p>
      <w:r>
        <w:t>The provider must define each clock's start and stop event, pause conditions, business-hour treatment, holiday treatment, reporting period, breach review, and remedies. Receipt acknowledgement, qualified work start, mitigation, service restoration and permanent resolution are distinct measures.</w:t>
      </w:r>
    </w:p>
    <w:p>
      <w:pPr>
        <w:pStyle w:val="Heading1"/>
      </w:pPr>
      <w:r>
        <w:t>6. Integrations and access</w:t>
      </w:r>
    </w:p>
    <w:p>
      <w:r>
        <w:t>For each required platform provide:</w:t>
      </w:r>
    </w:p>
    <w:p>
      <w:pPr>
        <w:pStyle w:val="ListBullet"/>
      </w:pPr>
      <w:r>
        <w:t>supported workflow and direction</w:t>
      </w:r>
    </w:p>
    <w:p>
      <w:pPr>
        <w:pStyle w:val="ListBullet"/>
      </w:pPr>
      <w:r>
        <w:t>objects created or updated</w:t>
      </w:r>
    </w:p>
    <w:p>
      <w:pPr>
        <w:pStyle w:val="ListBullet"/>
      </w:pPr>
      <w:r>
        <w:t>tenant mapping</w:t>
      </w:r>
    </w:p>
    <w:p>
      <w:pPr>
        <w:pStyle w:val="ListBullet"/>
      </w:pPr>
      <w:r>
        <w:t>authentication method</w:t>
      </w:r>
    </w:p>
    <w:p>
      <w:pPr>
        <w:pStyle w:val="ListBullet"/>
      </w:pPr>
      <w:r>
        <w:t>least-privilege permissions</w:t>
      </w:r>
    </w:p>
    <w:p>
      <w:pPr>
        <w:pStyle w:val="ListBullet"/>
      </w:pPr>
      <w:r>
        <w:t>credential owner</w:t>
      </w:r>
    </w:p>
    <w:p>
      <w:pPr>
        <w:pStyle w:val="ListBullet"/>
      </w:pPr>
      <w:r>
        <w:t>audit log</w:t>
      </w:r>
    </w:p>
    <w:p>
      <w:pPr>
        <w:pStyle w:val="ListBullet"/>
      </w:pPr>
      <w:r>
        <w:t>failure and retry behavior</w:t>
      </w:r>
    </w:p>
    <w:p>
      <w:pPr>
        <w:pStyle w:val="ListBullet"/>
      </w:pPr>
      <w:r>
        <w:t>sandbox or pilot test</w:t>
      </w:r>
    </w:p>
    <w:p>
      <w:pPr>
        <w:pStyle w:val="ListBullet"/>
      </w:pPr>
      <w:r>
        <w:t>offboarding and credential revocation</w:t>
      </w:r>
    </w:p>
    <w:p>
      <w:r>
        <w:t>Logo presence does not count as implementation evidence.</w:t>
      </w:r>
    </w:p>
    <w:p>
      <w:pPr>
        <w:pStyle w:val="Heading1"/>
      </w:pPr>
      <w:r>
        <w:t>7. Security questionnaire</w:t>
      </w:r>
    </w:p>
    <w:p>
      <w:r>
        <w:t>The provider must provide evidence or mark the item unavailable:</w:t>
      </w:r>
    </w:p>
    <w:p>
      <w:pPr>
        <w:pStyle w:val="ListBullet"/>
      </w:pPr>
      <w:r>
        <w:t>security program owner</w:t>
      </w:r>
    </w:p>
    <w:p>
      <w:pPr>
        <w:pStyle w:val="ListBullet"/>
      </w:pPr>
      <w:r>
        <w:t>current certifications and audit scope</w:t>
      </w:r>
    </w:p>
    <w:p>
      <w:pPr>
        <w:pStyle w:val="ListBullet"/>
      </w:pPr>
      <w:r>
        <w:t>workforce access controls</w:t>
      </w:r>
    </w:p>
    <w:p>
      <w:pPr>
        <w:pStyle w:val="ListBullet"/>
      </w:pPr>
      <w:r>
        <w:t>MFA enforcement</w:t>
      </w:r>
    </w:p>
    <w:p>
      <w:pPr>
        <w:pStyle w:val="ListBullet"/>
      </w:pPr>
      <w:r>
        <w:t>privileged access management</w:t>
      </w:r>
    </w:p>
    <w:p>
      <w:pPr>
        <w:pStyle w:val="ListBullet"/>
      </w:pPr>
      <w:r>
        <w:t>endpoint security</w:t>
      </w:r>
    </w:p>
    <w:p>
      <w:pPr>
        <w:pStyle w:val="ListBullet"/>
      </w:pPr>
      <w:r>
        <w:t>logging and monitoring</w:t>
      </w:r>
    </w:p>
    <w:p>
      <w:pPr>
        <w:pStyle w:val="ListBullet"/>
      </w:pPr>
      <w:r>
        <w:t>vulnerability management</w:t>
      </w:r>
    </w:p>
    <w:p>
      <w:pPr>
        <w:pStyle w:val="ListBullet"/>
      </w:pPr>
      <w:r>
        <w:t>incident notification window</w:t>
      </w:r>
    </w:p>
    <w:p>
      <w:pPr>
        <w:pStyle w:val="ListBullet"/>
      </w:pPr>
      <w:r>
        <w:t>subcontractor controls</w:t>
      </w:r>
    </w:p>
    <w:p>
      <w:pPr>
        <w:pStyle w:val="ListBullet"/>
      </w:pPr>
      <w:r>
        <w:t>data locations and transfers</w:t>
      </w:r>
    </w:p>
    <w:p>
      <w:pPr>
        <w:pStyle w:val="ListBullet"/>
      </w:pPr>
      <w:r>
        <w:t>retention and deletion</w:t>
      </w:r>
    </w:p>
    <w:p>
      <w:pPr>
        <w:pStyle w:val="ListBullet"/>
      </w:pPr>
      <w:r>
        <w:t>business continuity and recovery testing</w:t>
      </w:r>
    </w:p>
    <w:p>
      <w:pPr>
        <w:pStyle w:val="ListBullet"/>
      </w:pPr>
      <w:r>
        <w:t>cyber insurance status</w:t>
      </w:r>
    </w:p>
    <w:p>
      <w:pPr>
        <w:pStyle w:val="ListBullet"/>
      </w:pPr>
      <w:r>
        <w:t>most recent independent assessment date</w:t>
      </w:r>
    </w:p>
    <w:p>
      <w:pPr>
        <w:pStyle w:val="Heading1"/>
      </w:pPr>
      <w:r>
        <w:t>8. Onboarding and transition</w:t>
      </w:r>
    </w:p>
    <w:p>
      <w:r>
        <w:t>Provide the owner, duration, dependency, and acceptance evidence for:</w:t>
      </w:r>
    </w:p>
    <w:p>
      <w:r>
        <w:t>1. Discovery and inventory.</w:t>
      </w:r>
    </w:p>
    <w:p>
      <w:r>
        <w:t>2. Tool access and tenant mapping.</w:t>
      </w:r>
    </w:p>
    <w:p>
      <w:r>
        <w:t>3. Runbook and knowledge transfer.</w:t>
      </w:r>
    </w:p>
    <w:p>
      <w:r>
        <w:t>4. Ticket taxonomy and severity mapping.</w:t>
      </w:r>
    </w:p>
    <w:p>
      <w:r>
        <w:t>5. Branding configuration.</w:t>
      </w:r>
    </w:p>
    <w:p>
      <w:r>
        <w:t>6. Pilot client selection.</w:t>
      </w:r>
    </w:p>
    <w:p>
      <w:r>
        <w:t>7. Test cases and shadow period.</w:t>
      </w:r>
    </w:p>
    <w:p>
      <w:r>
        <w:t>8. Production cutover.</w:t>
      </w:r>
    </w:p>
    <w:p>
      <w:r>
        <w:t>9. First-week review.</w:t>
      </w:r>
    </w:p>
    <w:p>
      <w:r>
        <w:t>10. Thirty-day review.</w:t>
      </w:r>
    </w:p>
    <w:p>
      <w:r>
        <w:t>Also provide exit assistance, data export, credential removal, knowledge return, and transition charges.</w:t>
      </w:r>
    </w:p>
    <w:p>
      <w:pPr>
        <w:pStyle w:val="Heading1"/>
      </w:pPr>
      <w:r>
        <w:t>9. Pricing response sheet</w:t>
      </w:r>
    </w:p>
    <w:tbl>
      <w:tblPr>
        <w:tblStyle w:val="TableGrid"/>
        <w:tblW w:type="auto" w:w="0"/>
        <w:tblLayout w:type="fixed"/>
        <w:tblLook w:firstColumn="1" w:firstRow="1" w:lastColumn="0" w:lastRow="0" w:noHBand="0" w:noVBand="1" w:val="04A0"/>
      </w:tblPr>
      <w:tblGrid>
        <w:gridCol w:w="1491"/>
        <w:gridCol w:w="1491"/>
        <w:gridCol w:w="1491"/>
        <w:gridCol w:w="1491"/>
        <w:gridCol w:w="1491"/>
        <w:gridCol w:w="1491"/>
        <w:gridCol w:w="1491"/>
        <w:gridCol w:w="1491"/>
        <w:gridCol w:w="1491"/>
        <w:gridCol w:w="1491"/>
      </w:tblGrid>
      <w:tr>
        <w:trPr>
          <w:cantSplit/>
          <w:tblHeader/>
        </w:trPr>
        <w:tc>
          <w:tcPr>
            <w:tcW w:type="dxa" w:w="1491"/>
            <w:shd w:fill="273027" w:val="clear"/>
          </w:tcPr>
          <w:p>
            <w:pPr>
              <w:spacing w:after="80"/>
            </w:pPr>
            <w:r>
              <w:rPr>
                <w:b/>
                <w:color w:val="FFFFFF"/>
                <w:sz w:val="20"/>
              </w:rPr>
              <w:t>Charge</w:t>
            </w:r>
          </w:p>
        </w:tc>
        <w:tc>
          <w:tcPr>
            <w:tcW w:type="dxa" w:w="1491"/>
            <w:shd w:fill="273027" w:val="clear"/>
          </w:tcPr>
          <w:p>
            <w:pPr>
              <w:spacing w:after="80"/>
            </w:pPr>
            <w:r>
              <w:rPr>
                <w:b/>
                <w:color w:val="FFFFFF"/>
                <w:sz w:val="20"/>
              </w:rPr>
              <w:t>Currency</w:t>
            </w:r>
          </w:p>
        </w:tc>
        <w:tc>
          <w:tcPr>
            <w:tcW w:type="dxa" w:w="1491"/>
            <w:shd w:fill="273027" w:val="clear"/>
          </w:tcPr>
          <w:p>
            <w:pPr>
              <w:spacing w:after="80"/>
            </w:pPr>
            <w:r>
              <w:rPr>
                <w:b/>
                <w:color w:val="FFFFFF"/>
                <w:sz w:val="20"/>
              </w:rPr>
              <w:t>Unit</w:t>
            </w:r>
          </w:p>
        </w:tc>
        <w:tc>
          <w:tcPr>
            <w:tcW w:type="dxa" w:w="1491"/>
            <w:shd w:fill="273027" w:val="clear"/>
          </w:tcPr>
          <w:p>
            <w:pPr>
              <w:spacing w:after="80"/>
            </w:pPr>
            <w:r>
              <w:rPr>
                <w:b/>
                <w:color w:val="FFFFFF"/>
                <w:sz w:val="20"/>
              </w:rPr>
              <w:t>Quantity tier</w:t>
            </w:r>
          </w:p>
        </w:tc>
        <w:tc>
          <w:tcPr>
            <w:tcW w:type="dxa" w:w="1491"/>
            <w:shd w:fill="273027" w:val="clear"/>
          </w:tcPr>
          <w:p>
            <w:pPr>
              <w:spacing w:after="80"/>
            </w:pPr>
            <w:r>
              <w:rPr>
                <w:b/>
                <w:color w:val="FFFFFF"/>
                <w:sz w:val="20"/>
              </w:rPr>
              <w:t>Included scope</w:t>
            </w:r>
          </w:p>
        </w:tc>
        <w:tc>
          <w:tcPr>
            <w:tcW w:type="dxa" w:w="1491"/>
            <w:shd w:fill="273027" w:val="clear"/>
          </w:tcPr>
          <w:p>
            <w:pPr>
              <w:spacing w:after="80"/>
            </w:pPr>
            <w:r>
              <w:rPr>
                <w:b/>
                <w:color w:val="FFFFFF"/>
                <w:sz w:val="20"/>
              </w:rPr>
              <w:t>Exclusions</w:t>
            </w:r>
          </w:p>
        </w:tc>
        <w:tc>
          <w:tcPr>
            <w:tcW w:type="dxa" w:w="1491"/>
            <w:shd w:fill="273027" w:val="clear"/>
          </w:tcPr>
          <w:p>
            <w:pPr>
              <w:spacing w:after="80"/>
            </w:pPr>
            <w:r>
              <w:rPr>
                <w:b/>
                <w:color w:val="FFFFFF"/>
                <w:sz w:val="20"/>
              </w:rPr>
              <w:t>Minimum</w:t>
            </w:r>
          </w:p>
        </w:tc>
        <w:tc>
          <w:tcPr>
            <w:tcW w:type="dxa" w:w="1491"/>
            <w:shd w:fill="273027" w:val="clear"/>
          </w:tcPr>
          <w:p>
            <w:pPr>
              <w:spacing w:after="80"/>
            </w:pPr>
            <w:r>
              <w:rPr>
                <w:b/>
                <w:color w:val="FFFFFF"/>
                <w:sz w:val="20"/>
              </w:rPr>
              <w:t>Overage</w:t>
            </w:r>
          </w:p>
        </w:tc>
        <w:tc>
          <w:tcPr>
            <w:tcW w:type="dxa" w:w="1491"/>
            <w:shd w:fill="273027" w:val="clear"/>
          </w:tcPr>
          <w:p>
            <w:pPr>
              <w:spacing w:after="80"/>
            </w:pPr>
            <w:r>
              <w:rPr>
                <w:b/>
                <w:color w:val="FFFFFF"/>
                <w:sz w:val="20"/>
              </w:rPr>
              <w:t>One-time or recurring</w:t>
            </w:r>
          </w:p>
        </w:tc>
        <w:tc>
          <w:tcPr>
            <w:tcW w:type="dxa" w:w="1491"/>
            <w:shd w:fill="273027" w:val="clear"/>
          </w:tcPr>
          <w:p>
            <w:pPr>
              <w:spacing w:after="80"/>
            </w:pPr>
            <w:r>
              <w:rPr>
                <w:b/>
                <w:color w:val="FFFFFF"/>
                <w:sz w:val="20"/>
              </w:rPr>
              <w:t>Contract condition</w:t>
            </w:r>
          </w:p>
        </w:tc>
      </w:tr>
      <w:tr>
        <w:trPr>
          <w:cantSplit/>
        </w:trPr>
        <w:tc>
          <w:tcPr>
            <w:tcW w:type="dxa" w:w="1491"/>
          </w:tcPr>
          <w:p>
            <w:pPr>
              <w:spacing w:after="80"/>
            </w:pPr>
            <w:r>
              <w:rPr>
                <w:sz w:val="20"/>
              </w:rPr>
              <w:t>Core service</w:t>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r>
      <w:tr>
        <w:trPr>
          <w:cantSplit/>
        </w:trPr>
        <w:tc>
          <w:tcPr>
            <w:tcW w:type="dxa" w:w="1491"/>
          </w:tcPr>
          <w:p>
            <w:pPr>
              <w:spacing w:after="80"/>
            </w:pPr>
            <w:r>
              <w:rPr>
                <w:sz w:val="20"/>
              </w:rPr>
              <w:t>Onboarding</w:t>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r>
      <w:tr>
        <w:trPr>
          <w:cantSplit/>
        </w:trPr>
        <w:tc>
          <w:tcPr>
            <w:tcW w:type="dxa" w:w="1491"/>
          </w:tcPr>
          <w:p>
            <w:pPr>
              <w:spacing w:after="80"/>
            </w:pPr>
            <w:r>
              <w:rPr>
                <w:sz w:val="20"/>
              </w:rPr>
              <w:t>After-hours premium</w:t>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r>
      <w:tr>
        <w:trPr>
          <w:cantSplit/>
        </w:trPr>
        <w:tc>
          <w:tcPr>
            <w:tcW w:type="dxa" w:w="1491"/>
          </w:tcPr>
          <w:p>
            <w:pPr>
              <w:spacing w:after="80"/>
            </w:pPr>
            <w:r>
              <w:rPr>
                <w:sz w:val="20"/>
              </w:rPr>
              <w:t>Dedicated resource</w:t>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r>
      <w:tr>
        <w:trPr>
          <w:cantSplit/>
        </w:trPr>
        <w:tc>
          <w:tcPr>
            <w:tcW w:type="dxa" w:w="1491"/>
          </w:tcPr>
          <w:p>
            <w:pPr>
              <w:spacing w:after="80"/>
            </w:pPr>
            <w:r>
              <w:rPr>
                <w:sz w:val="20"/>
              </w:rPr>
              <w:t>Tool or license</w:t>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r>
      <w:tr>
        <w:trPr>
          <w:cantSplit/>
        </w:trPr>
        <w:tc>
          <w:tcPr>
            <w:tcW w:type="dxa" w:w="1491"/>
          </w:tcPr>
          <w:p>
            <w:pPr>
              <w:spacing w:after="80"/>
            </w:pPr>
            <w:r>
              <w:rPr>
                <w:sz w:val="20"/>
              </w:rPr>
              <w:t>Optional automation or AI agent</w:t>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r>
      <w:tr>
        <w:trPr>
          <w:cantSplit/>
        </w:trPr>
        <w:tc>
          <w:tcPr>
            <w:tcW w:type="dxa" w:w="1491"/>
          </w:tcPr>
          <w:p>
            <w:pPr>
              <w:spacing w:after="80"/>
            </w:pPr>
            <w:r>
              <w:rPr>
                <w:sz w:val="20"/>
              </w:rPr>
              <w:t>Project work</w:t>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r>
      <w:tr>
        <w:trPr>
          <w:cantSplit/>
        </w:trPr>
        <w:tc>
          <w:tcPr>
            <w:tcW w:type="dxa" w:w="1491"/>
          </w:tcPr>
          <w:p>
            <w:pPr>
              <w:spacing w:after="80"/>
            </w:pPr>
            <w:r>
              <w:rPr>
                <w:sz w:val="20"/>
              </w:rPr>
              <w:t>Exit assistance</w:t>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c>
          <w:tcPr>
            <w:tcW w:type="dxa" w:w="1491"/>
          </w:tcPr>
          <w:p>
            <w:pPr>
              <w:spacing w:after="80"/>
            </w:pPr>
            <w:r>
              <w:rPr>
                <w:sz w:val="20"/>
              </w:rPr>
            </w:r>
          </w:p>
        </w:tc>
      </w:tr>
    </w:tbl>
    <w:p/>
    <w:p>
      <w:r>
        <w:t>State the rate period and invoice calendar for every recurring line. Keep a four-week rate with its original unit and invoice dates; provide any calendar-month comparison amount with its conversion assumptions. State the initial commitment, renewal period and notice deadline separately from payment frequency. Identify prepaid recurring charges so they are not counted again as one-time fees.</w:t>
      </w:r>
    </w:p>
    <w:p>
      <w:r>
        <w:t>State taxes, annual increases, renewal, cancellation, payment terms, credits, and any charge omitted from the table.</w:t>
      </w:r>
    </w:p>
    <w:p>
      <w:r>
        <w:t>For every included allowance, state the quantity, unit, reset period, pooling rules, expiry or rollover and overage rate. Define what counts as a ticket, call, user, device or labor hour. Explain whether reopened tickets, duplicate alerts and automated contacts consume the allowance. Keep separate limits for first-line contact and advanced remediation.</w:t>
      </w:r>
    </w:p>
    <w:p>
      <w:r>
        <w:t>The buyer should add its retained MSP management cost after the supplier service-fee minimum. This is a buyer expense, not a fee the provider is assumed to quote. Do not charge the same usage twice in normalized usage and additional overage.</w:t>
      </w:r>
    </w:p>
    <w:p>
      <w:pPr>
        <w:pStyle w:val="Heading1"/>
      </w:pPr>
      <w:r>
        <w:t>10. Evidence attachments</w:t>
      </w:r>
    </w:p>
    <w:p>
      <w:pPr>
        <w:pStyle w:val="ListBullet"/>
      </w:pPr>
      <w:r>
        <w:t>sample monthly report</w:t>
      </w:r>
    </w:p>
    <w:p>
      <w:pPr>
        <w:pStyle w:val="ListBullet"/>
      </w:pPr>
      <w:r>
        <w:t>sample escalation record</w:t>
      </w:r>
    </w:p>
    <w:p>
      <w:pPr>
        <w:pStyle w:val="ListBullet"/>
      </w:pPr>
      <w:r>
        <w:t>sample anonymized ticket trail</w:t>
      </w:r>
    </w:p>
    <w:p>
      <w:pPr>
        <w:pStyle w:val="ListBullet"/>
      </w:pPr>
      <w:r>
        <w:t>certificate or audit evidence</w:t>
      </w:r>
    </w:p>
    <w:p>
      <w:pPr>
        <w:pStyle w:val="ListBullet"/>
      </w:pPr>
      <w:r>
        <w:t>continuity test summary</w:t>
      </w:r>
    </w:p>
    <w:p>
      <w:pPr>
        <w:pStyle w:val="ListBullet"/>
      </w:pPr>
      <w:r>
        <w:t>integration documentation</w:t>
      </w:r>
    </w:p>
    <w:p>
      <w:pPr>
        <w:pStyle w:val="ListBullet"/>
      </w:pPr>
      <w:r>
        <w:t>standard agreement and SLA</w:t>
      </w:r>
    </w:p>
    <w:p>
      <w:pPr>
        <w:pStyle w:val="ListBullet"/>
      </w:pPr>
      <w:r>
        <w:t>data processing terms</w:t>
      </w:r>
    </w:p>
    <w:p>
      <w:pPr>
        <w:pStyle w:val="ListBullet"/>
      </w:pPr>
      <w:r>
        <w:t>reference eligibility and permission</w:t>
      </w:r>
    </w:p>
    <w:p>
      <w:pPr>
        <w:pStyle w:val="Heading1"/>
      </w:pPr>
      <w:r>
        <w:t>11. Evaluation rubric</w:t>
      </w:r>
    </w:p>
    <w:p>
      <w:r>
        <w:t>Set weights before proposals are opened.</w:t>
      </w:r>
    </w:p>
    <w:tbl>
      <w:tblPr>
        <w:tblStyle w:val="TableGrid"/>
        <w:tblW w:type="auto" w:w="0"/>
        <w:tblLayout w:type="fixed"/>
        <w:tblLook w:firstColumn="1" w:firstRow="1" w:lastColumn="0" w:lastRow="0" w:noHBand="0" w:noVBand="1" w:val="04A0"/>
      </w:tblPr>
      <w:tblGrid>
        <w:gridCol w:w="3727"/>
        <w:gridCol w:w="3727"/>
        <w:gridCol w:w="3727"/>
        <w:gridCol w:w="3727"/>
      </w:tblGrid>
      <w:tr>
        <w:trPr>
          <w:cantSplit/>
          <w:tblHeader/>
        </w:trPr>
        <w:tc>
          <w:tcPr>
            <w:tcW w:type="dxa" w:w="3728"/>
            <w:shd w:fill="273027" w:val="clear"/>
          </w:tcPr>
          <w:p>
            <w:pPr>
              <w:spacing w:after="80"/>
            </w:pPr>
            <w:r>
              <w:rPr>
                <w:b/>
                <w:color w:val="FFFFFF"/>
                <w:sz w:val="20"/>
              </w:rPr>
              <w:t>Criterion</w:t>
            </w:r>
          </w:p>
        </w:tc>
        <w:tc>
          <w:tcPr>
            <w:tcW w:type="dxa" w:w="3728"/>
            <w:shd w:fill="273027" w:val="clear"/>
          </w:tcPr>
          <w:p>
            <w:pPr>
              <w:spacing w:after="80"/>
            </w:pPr>
            <w:r>
              <w:rPr>
                <w:b/>
                <w:color w:val="FFFFFF"/>
                <w:sz w:val="20"/>
              </w:rPr>
              <w:t>Weight</w:t>
            </w:r>
          </w:p>
        </w:tc>
        <w:tc>
          <w:tcPr>
            <w:tcW w:type="dxa" w:w="3728"/>
            <w:shd w:fill="273027" w:val="clear"/>
          </w:tcPr>
          <w:p>
            <w:pPr>
              <w:spacing w:after="80"/>
            </w:pPr>
            <w:r>
              <w:rPr>
                <w:b/>
                <w:color w:val="FFFFFF"/>
                <w:sz w:val="20"/>
              </w:rPr>
              <w:t>Gate or score</w:t>
            </w:r>
          </w:p>
        </w:tc>
        <w:tc>
          <w:tcPr>
            <w:tcW w:type="dxa" w:w="3728"/>
            <w:shd w:fill="273027" w:val="clear"/>
          </w:tcPr>
          <w:p>
            <w:pPr>
              <w:spacing w:after="80"/>
            </w:pPr>
            <w:r>
              <w:rPr>
                <w:b/>
                <w:color w:val="FFFFFF"/>
                <w:sz w:val="20"/>
              </w:rPr>
              <w:t>Evidence required</w:t>
            </w:r>
          </w:p>
        </w:tc>
      </w:tr>
      <w:tr>
        <w:trPr>
          <w:cantSplit/>
        </w:trPr>
        <w:tc>
          <w:tcPr>
            <w:tcW w:type="dxa" w:w="3728"/>
          </w:tcPr>
          <w:p>
            <w:pPr>
              <w:spacing w:after="80"/>
            </w:pPr>
            <w:r>
              <w:rPr>
                <w:sz w:val="20"/>
              </w:rPr>
              <w:t>Scope fit</w:t>
            </w:r>
          </w:p>
        </w:tc>
        <w:tc>
          <w:tcPr>
            <w:tcW w:type="dxa" w:w="3728"/>
          </w:tcPr>
          <w:p>
            <w:pPr>
              <w:spacing w:after="80"/>
            </w:pPr>
            <w:r>
              <w:rPr>
                <w:sz w:val="20"/>
              </w:rPr>
              <w:t>[WEIGHT]</w:t>
            </w:r>
          </w:p>
        </w:tc>
        <w:tc>
          <w:tcPr>
            <w:tcW w:type="dxa" w:w="3728"/>
          </w:tcPr>
          <w:p>
            <w:pPr>
              <w:spacing w:after="80"/>
            </w:pPr>
            <w:r>
              <w:rPr>
                <w:sz w:val="20"/>
              </w:rPr>
            </w:r>
          </w:p>
        </w:tc>
        <w:tc>
          <w:tcPr>
            <w:tcW w:type="dxa" w:w="3728"/>
          </w:tcPr>
          <w:p>
            <w:pPr>
              <w:spacing w:after="80"/>
            </w:pPr>
            <w:r>
              <w:rPr>
                <w:sz w:val="20"/>
              </w:rPr>
              <w:t>Matched scope table</w:t>
            </w:r>
          </w:p>
        </w:tc>
      </w:tr>
      <w:tr>
        <w:trPr>
          <w:cantSplit/>
        </w:trPr>
        <w:tc>
          <w:tcPr>
            <w:tcW w:type="dxa" w:w="3728"/>
          </w:tcPr>
          <w:p>
            <w:pPr>
              <w:spacing w:after="80"/>
            </w:pPr>
            <w:r>
              <w:rPr>
                <w:sz w:val="20"/>
              </w:rPr>
              <w:t>Coverage and SLA</w:t>
            </w:r>
          </w:p>
        </w:tc>
        <w:tc>
          <w:tcPr>
            <w:tcW w:type="dxa" w:w="3728"/>
          </w:tcPr>
          <w:p>
            <w:pPr>
              <w:spacing w:after="80"/>
            </w:pPr>
            <w:r>
              <w:rPr>
                <w:sz w:val="20"/>
              </w:rPr>
              <w:t>[WEIGHT]</w:t>
            </w:r>
          </w:p>
        </w:tc>
        <w:tc>
          <w:tcPr>
            <w:tcW w:type="dxa" w:w="3728"/>
          </w:tcPr>
          <w:p>
            <w:pPr>
              <w:spacing w:after="80"/>
            </w:pPr>
            <w:r>
              <w:rPr>
                <w:sz w:val="20"/>
              </w:rPr>
            </w:r>
          </w:p>
        </w:tc>
        <w:tc>
          <w:tcPr>
            <w:tcW w:type="dxa" w:w="3728"/>
          </w:tcPr>
          <w:p>
            <w:pPr>
              <w:spacing w:after="80"/>
            </w:pPr>
            <w:r>
              <w:rPr>
                <w:sz w:val="20"/>
              </w:rPr>
              <w:t>Completed SLA table</w:t>
            </w:r>
          </w:p>
        </w:tc>
      </w:tr>
      <w:tr>
        <w:trPr>
          <w:cantSplit/>
        </w:trPr>
        <w:tc>
          <w:tcPr>
            <w:tcW w:type="dxa" w:w="3728"/>
          </w:tcPr>
          <w:p>
            <w:pPr>
              <w:spacing w:after="80"/>
            </w:pPr>
            <w:r>
              <w:rPr>
                <w:sz w:val="20"/>
              </w:rPr>
              <w:t>Workflow and integrations</w:t>
            </w:r>
          </w:p>
        </w:tc>
        <w:tc>
          <w:tcPr>
            <w:tcW w:type="dxa" w:w="3728"/>
          </w:tcPr>
          <w:p>
            <w:pPr>
              <w:spacing w:after="80"/>
            </w:pPr>
            <w:r>
              <w:rPr>
                <w:sz w:val="20"/>
              </w:rPr>
              <w:t>[WEIGHT]</w:t>
            </w:r>
          </w:p>
        </w:tc>
        <w:tc>
          <w:tcPr>
            <w:tcW w:type="dxa" w:w="3728"/>
          </w:tcPr>
          <w:p>
            <w:pPr>
              <w:spacing w:after="80"/>
            </w:pPr>
            <w:r>
              <w:rPr>
                <w:sz w:val="20"/>
              </w:rPr>
            </w:r>
          </w:p>
        </w:tc>
        <w:tc>
          <w:tcPr>
            <w:tcW w:type="dxa" w:w="3728"/>
          </w:tcPr>
          <w:p>
            <w:pPr>
              <w:spacing w:after="80"/>
            </w:pPr>
            <w:r>
              <w:rPr>
                <w:sz w:val="20"/>
              </w:rPr>
              <w:t>Demonstration and test plan</w:t>
            </w:r>
          </w:p>
        </w:tc>
      </w:tr>
      <w:tr>
        <w:trPr>
          <w:cantSplit/>
        </w:trPr>
        <w:tc>
          <w:tcPr>
            <w:tcW w:type="dxa" w:w="3728"/>
          </w:tcPr>
          <w:p>
            <w:pPr>
              <w:spacing w:after="80"/>
            </w:pPr>
            <w:r>
              <w:rPr>
                <w:sz w:val="20"/>
              </w:rPr>
              <w:t>Security</w:t>
            </w:r>
          </w:p>
        </w:tc>
        <w:tc>
          <w:tcPr>
            <w:tcW w:type="dxa" w:w="3728"/>
          </w:tcPr>
          <w:p>
            <w:pPr>
              <w:spacing w:after="80"/>
            </w:pPr>
            <w:r>
              <w:rPr>
                <w:sz w:val="20"/>
              </w:rPr>
              <w:t>[WEIGHT]</w:t>
            </w:r>
          </w:p>
        </w:tc>
        <w:tc>
          <w:tcPr>
            <w:tcW w:type="dxa" w:w="3728"/>
          </w:tcPr>
          <w:p>
            <w:pPr>
              <w:spacing w:after="80"/>
            </w:pPr>
            <w:r>
              <w:rPr>
                <w:sz w:val="20"/>
              </w:rPr>
            </w:r>
          </w:p>
        </w:tc>
        <w:tc>
          <w:tcPr>
            <w:tcW w:type="dxa" w:w="3728"/>
          </w:tcPr>
          <w:p>
            <w:pPr>
              <w:spacing w:after="80"/>
            </w:pPr>
            <w:r>
              <w:rPr>
                <w:sz w:val="20"/>
              </w:rPr>
              <w:t>Current evidence</w:t>
            </w:r>
          </w:p>
        </w:tc>
      </w:tr>
      <w:tr>
        <w:trPr>
          <w:cantSplit/>
        </w:trPr>
        <w:tc>
          <w:tcPr>
            <w:tcW w:type="dxa" w:w="3728"/>
          </w:tcPr>
          <w:p>
            <w:pPr>
              <w:spacing w:after="80"/>
            </w:pPr>
            <w:r>
              <w:rPr>
                <w:sz w:val="20"/>
              </w:rPr>
              <w:t>Onboarding and exit</w:t>
            </w:r>
          </w:p>
        </w:tc>
        <w:tc>
          <w:tcPr>
            <w:tcW w:type="dxa" w:w="3728"/>
          </w:tcPr>
          <w:p>
            <w:pPr>
              <w:spacing w:after="80"/>
            </w:pPr>
            <w:r>
              <w:rPr>
                <w:sz w:val="20"/>
              </w:rPr>
              <w:t>[WEIGHT]</w:t>
            </w:r>
          </w:p>
        </w:tc>
        <w:tc>
          <w:tcPr>
            <w:tcW w:type="dxa" w:w="3728"/>
          </w:tcPr>
          <w:p>
            <w:pPr>
              <w:spacing w:after="80"/>
            </w:pPr>
            <w:r>
              <w:rPr>
                <w:sz w:val="20"/>
              </w:rPr>
            </w:r>
          </w:p>
        </w:tc>
        <w:tc>
          <w:tcPr>
            <w:tcW w:type="dxa" w:w="3728"/>
          </w:tcPr>
          <w:p>
            <w:pPr>
              <w:spacing w:after="80"/>
            </w:pPr>
            <w:r>
              <w:rPr>
                <w:sz w:val="20"/>
              </w:rPr>
              <w:t>Project plan</w:t>
            </w:r>
          </w:p>
        </w:tc>
      </w:tr>
      <w:tr>
        <w:trPr>
          <w:cantSplit/>
        </w:trPr>
        <w:tc>
          <w:tcPr>
            <w:tcW w:type="dxa" w:w="3728"/>
          </w:tcPr>
          <w:p>
            <w:pPr>
              <w:spacing w:after="80"/>
            </w:pPr>
            <w:r>
              <w:rPr>
                <w:sz w:val="20"/>
              </w:rPr>
              <w:t>Commercial fit</w:t>
            </w:r>
          </w:p>
        </w:tc>
        <w:tc>
          <w:tcPr>
            <w:tcW w:type="dxa" w:w="3728"/>
          </w:tcPr>
          <w:p>
            <w:pPr>
              <w:spacing w:after="80"/>
            </w:pPr>
            <w:r>
              <w:rPr>
                <w:sz w:val="20"/>
              </w:rPr>
              <w:t>[WEIGHT]</w:t>
            </w:r>
          </w:p>
        </w:tc>
        <w:tc>
          <w:tcPr>
            <w:tcW w:type="dxa" w:w="3728"/>
          </w:tcPr>
          <w:p>
            <w:pPr>
              <w:spacing w:after="80"/>
            </w:pPr>
            <w:r>
              <w:rPr>
                <w:sz w:val="20"/>
              </w:rPr>
            </w:r>
          </w:p>
        </w:tc>
        <w:tc>
          <w:tcPr>
            <w:tcW w:type="dxa" w:w="3728"/>
          </w:tcPr>
          <w:p>
            <w:pPr>
              <w:spacing w:after="80"/>
            </w:pPr>
            <w:r>
              <w:rPr>
                <w:sz w:val="20"/>
              </w:rPr>
              <w:t>Completed pricing sheet</w:t>
            </w:r>
          </w:p>
        </w:tc>
      </w:tr>
      <w:tr>
        <w:trPr>
          <w:cantSplit/>
        </w:trPr>
        <w:tc>
          <w:tcPr>
            <w:tcW w:type="dxa" w:w="3728"/>
          </w:tcPr>
          <w:p>
            <w:pPr>
              <w:spacing w:after="80"/>
            </w:pPr>
            <w:r>
              <w:rPr>
                <w:sz w:val="20"/>
              </w:rPr>
              <w:t>Evidence completeness</w:t>
            </w:r>
          </w:p>
        </w:tc>
        <w:tc>
          <w:tcPr>
            <w:tcW w:type="dxa" w:w="3728"/>
          </w:tcPr>
          <w:p>
            <w:pPr>
              <w:spacing w:after="80"/>
            </w:pPr>
            <w:r>
              <w:rPr>
                <w:sz w:val="20"/>
              </w:rPr>
              <w:t>[WEIGHT]</w:t>
            </w:r>
          </w:p>
        </w:tc>
        <w:tc>
          <w:tcPr>
            <w:tcW w:type="dxa" w:w="3728"/>
          </w:tcPr>
          <w:p>
            <w:pPr>
              <w:spacing w:after="80"/>
            </w:pPr>
            <w:r>
              <w:rPr>
                <w:sz w:val="20"/>
              </w:rPr>
            </w:r>
          </w:p>
        </w:tc>
        <w:tc>
          <w:tcPr>
            <w:tcW w:type="dxa" w:w="3728"/>
          </w:tcPr>
          <w:p>
            <w:pPr>
              <w:spacing w:after="80"/>
            </w:pPr>
            <w:r>
              <w:rPr>
                <w:sz w:val="20"/>
              </w:rPr>
              <w:t>Source package</w:t>
            </w:r>
          </w:p>
        </w:tc>
      </w:tr>
    </w:tbl>
    <w:p/>
    <w:p>
      <w:r>
        <w:t>Unknown fields receive no assumed value. A mandatory gate failure disqualifies the proposal regardless of total score.</w:t>
      </w:r>
    </w:p>
    <w:p>
      <w:pPr>
        <w:pStyle w:val="Heading1"/>
      </w:pPr>
      <w:r>
        <w:t>12. Automation and AI boundaries</w:t>
      </w:r>
    </w:p>
    <w:p>
      <w:r>
        <w:t>Complete this section when the proposed service uses AI agents, automated intake, triage or remediation. Mark the section not required if these actions are excluded. A bot acknowledgement does not demonstrate qualified work start, service restoration or permanent resolution. Define the human fallback within the same service window and SLA table.</w:t>
      </w:r>
    </w:p>
    <w:tbl>
      <w:tblPr>
        <w:tblStyle w:val="TableGrid"/>
        <w:tblW w:type="auto" w:w="0"/>
        <w:tblLayout w:type="fixed"/>
        <w:tblLook w:firstColumn="1" w:firstRow="1" w:lastColumn="0" w:lastRow="0" w:noHBand="0" w:noVBand="1" w:val="04A0"/>
      </w:tblPr>
      <w:tblGrid>
        <w:gridCol w:w="3727"/>
        <w:gridCol w:w="3727"/>
        <w:gridCol w:w="3727"/>
        <w:gridCol w:w="3727"/>
      </w:tblGrid>
      <w:tr>
        <w:trPr>
          <w:cantSplit/>
          <w:tblHeader/>
        </w:trPr>
        <w:tc>
          <w:tcPr>
            <w:tcW w:type="dxa" w:w="3728"/>
            <w:shd w:fill="273027" w:val="clear"/>
          </w:tcPr>
          <w:p>
            <w:pPr>
              <w:spacing w:after="80"/>
            </w:pPr>
            <w:r>
              <w:rPr>
                <w:b/>
                <w:color w:val="FFFFFF"/>
                <w:sz w:val="20"/>
              </w:rPr>
              <w:t>Control</w:t>
            </w:r>
          </w:p>
        </w:tc>
        <w:tc>
          <w:tcPr>
            <w:tcW w:type="dxa" w:w="3728"/>
            <w:shd w:fill="273027" w:val="clear"/>
          </w:tcPr>
          <w:p>
            <w:pPr>
              <w:spacing w:after="80"/>
            </w:pPr>
            <w:r>
              <w:rPr>
                <w:b/>
                <w:color w:val="FFFFFF"/>
                <w:sz w:val="20"/>
              </w:rPr>
              <w:t>Buyer requirement</w:t>
            </w:r>
          </w:p>
        </w:tc>
        <w:tc>
          <w:tcPr>
            <w:tcW w:type="dxa" w:w="3728"/>
            <w:shd w:fill="273027" w:val="clear"/>
          </w:tcPr>
          <w:p>
            <w:pPr>
              <w:spacing w:after="80"/>
            </w:pPr>
            <w:r>
              <w:rPr>
                <w:b/>
                <w:color w:val="FFFFFF"/>
                <w:sz w:val="20"/>
              </w:rPr>
              <w:t>Provider response</w:t>
            </w:r>
          </w:p>
        </w:tc>
        <w:tc>
          <w:tcPr>
            <w:tcW w:type="dxa" w:w="3728"/>
            <w:shd w:fill="273027" w:val="clear"/>
          </w:tcPr>
          <w:p>
            <w:pPr>
              <w:spacing w:after="80"/>
            </w:pPr>
            <w:r>
              <w:rPr>
                <w:b/>
                <w:color w:val="FFFFFF"/>
                <w:sz w:val="20"/>
              </w:rPr>
              <w:t>Evidence / test</w:t>
            </w:r>
          </w:p>
        </w:tc>
      </w:tr>
      <w:tr>
        <w:trPr>
          <w:cantSplit/>
        </w:trPr>
        <w:tc>
          <w:tcPr>
            <w:tcW w:type="dxa" w:w="3728"/>
          </w:tcPr>
          <w:p>
            <w:pPr>
              <w:spacing w:after="80"/>
            </w:pPr>
            <w:r>
              <w:rPr>
                <w:sz w:val="20"/>
              </w:rPr>
              <w:t>Permitted actions and approvals</w:t>
            </w:r>
          </w:p>
        </w:tc>
        <w:tc>
          <w:tcPr>
            <w:tcW w:type="dxa" w:w="3728"/>
          </w:tcPr>
          <w:p>
            <w:pPr>
              <w:spacing w:after="80"/>
            </w:pPr>
            <w:r>
              <w:rPr>
                <w:sz w:val="20"/>
              </w:rPr>
              <w:t>[ALLOWLIST; APPROVAL GATES; ACTIONS THAT STAY HUMAN]</w:t>
            </w:r>
          </w:p>
        </w:tc>
        <w:tc>
          <w:tcPr>
            <w:tcW w:type="dxa" w:w="3728"/>
          </w:tcPr>
          <w:p>
            <w:pPr>
              <w:spacing w:after="80"/>
            </w:pPr>
            <w:r>
              <w:rPr>
                <w:sz w:val="20"/>
              </w:rPr>
            </w:r>
          </w:p>
        </w:tc>
        <w:tc>
          <w:tcPr>
            <w:tcW w:type="dxa" w:w="3728"/>
          </w:tcPr>
          <w:p>
            <w:pPr>
              <w:spacing w:after="80"/>
            </w:pPr>
            <w:r>
              <w:rPr>
                <w:sz w:val="20"/>
              </w:rPr>
            </w:r>
          </w:p>
        </w:tc>
      </w:tr>
      <w:tr>
        <w:trPr>
          <w:cantSplit/>
        </w:trPr>
        <w:tc>
          <w:tcPr>
            <w:tcW w:type="dxa" w:w="3728"/>
          </w:tcPr>
          <w:p>
            <w:pPr>
              <w:spacing w:after="80"/>
            </w:pPr>
            <w:r>
              <w:rPr>
                <w:sz w:val="20"/>
              </w:rPr>
              <w:t>Identity and tenant boundaries</w:t>
            </w:r>
          </w:p>
        </w:tc>
        <w:tc>
          <w:tcPr>
            <w:tcW w:type="dxa" w:w="3728"/>
          </w:tcPr>
          <w:p>
            <w:pPr>
              <w:spacing w:after="80"/>
            </w:pPr>
            <w:r>
              <w:rPr>
                <w:sz w:val="20"/>
              </w:rPr>
              <w:t>[SERVICE IDENTITY; LEAST PRIVILEGE; TENANT SEPARATION; REVOCATION OWNER]</w:t>
            </w:r>
          </w:p>
        </w:tc>
        <w:tc>
          <w:tcPr>
            <w:tcW w:type="dxa" w:w="3728"/>
          </w:tcPr>
          <w:p>
            <w:pPr>
              <w:spacing w:after="80"/>
            </w:pPr>
            <w:r>
              <w:rPr>
                <w:sz w:val="20"/>
              </w:rPr>
            </w:r>
          </w:p>
        </w:tc>
        <w:tc>
          <w:tcPr>
            <w:tcW w:type="dxa" w:w="3728"/>
          </w:tcPr>
          <w:p>
            <w:pPr>
              <w:spacing w:after="80"/>
            </w:pPr>
            <w:r>
              <w:rPr>
                <w:sz w:val="20"/>
              </w:rPr>
            </w:r>
          </w:p>
        </w:tc>
      </w:tr>
      <w:tr>
        <w:trPr>
          <w:cantSplit/>
        </w:trPr>
        <w:tc>
          <w:tcPr>
            <w:tcW w:type="dxa" w:w="3728"/>
          </w:tcPr>
          <w:p>
            <w:pPr>
              <w:spacing w:after="80"/>
            </w:pPr>
            <w:r>
              <w:rPr>
                <w:sz w:val="20"/>
              </w:rPr>
              <w:t>Human handoff and failed handoff</w:t>
            </w:r>
          </w:p>
        </w:tc>
        <w:tc>
          <w:tcPr>
            <w:tcW w:type="dxa" w:w="3728"/>
          </w:tcPr>
          <w:p>
            <w:pPr>
              <w:spacing w:after="80"/>
            </w:pPr>
            <w:r>
              <w:rPr>
                <w:sz w:val="20"/>
              </w:rPr>
              <w:t>[TRIGGERS; STAFFED WINDOW; NEXT OWNER; FALLBACK AND ESCALATION]</w:t>
            </w:r>
          </w:p>
        </w:tc>
        <w:tc>
          <w:tcPr>
            <w:tcW w:type="dxa" w:w="3728"/>
          </w:tcPr>
          <w:p>
            <w:pPr>
              <w:spacing w:after="80"/>
            </w:pPr>
            <w:r>
              <w:rPr>
                <w:sz w:val="20"/>
              </w:rPr>
            </w:r>
          </w:p>
        </w:tc>
        <w:tc>
          <w:tcPr>
            <w:tcW w:type="dxa" w:w="3728"/>
          </w:tcPr>
          <w:p>
            <w:pPr>
              <w:spacing w:after="80"/>
            </w:pPr>
            <w:r>
              <w:rPr>
                <w:sz w:val="20"/>
              </w:rPr>
            </w:r>
          </w:p>
        </w:tc>
      </w:tr>
      <w:tr>
        <w:trPr>
          <w:cantSplit/>
        </w:trPr>
        <w:tc>
          <w:tcPr>
            <w:tcW w:type="dxa" w:w="3728"/>
          </w:tcPr>
          <w:p>
            <w:pPr>
              <w:spacing w:after="80"/>
            </w:pPr>
            <w:r>
              <w:rPr>
                <w:sz w:val="20"/>
              </w:rPr>
              <w:t>Data use and model providers</w:t>
            </w:r>
          </w:p>
        </w:tc>
        <w:tc>
          <w:tcPr>
            <w:tcW w:type="dxa" w:w="3728"/>
          </w:tcPr>
          <w:p>
            <w:pPr>
              <w:spacing w:after="80"/>
            </w:pPr>
            <w:r>
              <w:rPr>
                <w:sz w:val="20"/>
              </w:rPr>
              <w:t>[INPUT DATA; PROVIDERS AND SUBPROCESSORS; LOCATIONS; RETENTION; TRAINING USE]</w:t>
            </w:r>
          </w:p>
        </w:tc>
        <w:tc>
          <w:tcPr>
            <w:tcW w:type="dxa" w:w="3728"/>
          </w:tcPr>
          <w:p>
            <w:pPr>
              <w:spacing w:after="80"/>
            </w:pPr>
            <w:r>
              <w:rPr>
                <w:sz w:val="20"/>
              </w:rPr>
            </w:r>
          </w:p>
        </w:tc>
        <w:tc>
          <w:tcPr>
            <w:tcW w:type="dxa" w:w="3728"/>
          </w:tcPr>
          <w:p>
            <w:pPr>
              <w:spacing w:after="80"/>
            </w:pPr>
            <w:r>
              <w:rPr>
                <w:sz w:val="20"/>
              </w:rPr>
            </w:r>
          </w:p>
        </w:tc>
      </w:tr>
      <w:tr>
        <w:trPr>
          <w:cantSplit/>
        </w:trPr>
        <w:tc>
          <w:tcPr>
            <w:tcW w:type="dxa" w:w="3728"/>
          </w:tcPr>
          <w:p>
            <w:pPr>
              <w:spacing w:after="80"/>
            </w:pPr>
            <w:r>
              <w:rPr>
                <w:sz w:val="20"/>
              </w:rPr>
              <w:t>Audit trail and measurement</w:t>
            </w:r>
          </w:p>
        </w:tc>
        <w:tc>
          <w:tcPr>
            <w:tcW w:type="dxa" w:w="3728"/>
          </w:tcPr>
          <w:p>
            <w:pPr>
              <w:spacing w:after="80"/>
            </w:pPr>
            <w:r>
              <w:rPr>
                <w:sz w:val="20"/>
              </w:rPr>
              <w:t>[BOT OR HUMAN ACTOR; ACTION AND APPROVAL LOG; FIVE SLA TIMERS; EXPORT]</w:t>
            </w:r>
          </w:p>
        </w:tc>
        <w:tc>
          <w:tcPr>
            <w:tcW w:type="dxa" w:w="3728"/>
          </w:tcPr>
          <w:p>
            <w:pPr>
              <w:spacing w:after="80"/>
            </w:pPr>
            <w:r>
              <w:rPr>
                <w:sz w:val="20"/>
              </w:rPr>
            </w:r>
          </w:p>
        </w:tc>
        <w:tc>
          <w:tcPr>
            <w:tcW w:type="dxa" w:w="3728"/>
          </w:tcPr>
          <w:p>
            <w:pPr>
              <w:spacing w:after="80"/>
            </w:pPr>
            <w:r>
              <w:rPr>
                <w:sz w:val="20"/>
              </w:rPr>
            </w:r>
          </w:p>
        </w:tc>
      </w:tr>
      <w:tr>
        <w:trPr>
          <w:cantSplit/>
        </w:trPr>
        <w:tc>
          <w:tcPr>
            <w:tcW w:type="dxa" w:w="3728"/>
          </w:tcPr>
          <w:p>
            <w:pPr>
              <w:spacing w:after="80"/>
            </w:pPr>
            <w:r>
              <w:rPr>
                <w:sz w:val="20"/>
              </w:rPr>
              <w:t>Unsafe or failed action</w:t>
            </w:r>
          </w:p>
        </w:tc>
        <w:tc>
          <w:tcPr>
            <w:tcW w:type="dxa" w:w="3728"/>
          </w:tcPr>
          <w:p>
            <w:pPr>
              <w:spacing w:after="80"/>
            </w:pPr>
            <w:r>
              <w:rPr>
                <w:sz w:val="20"/>
              </w:rPr>
              <w:t>[STOP CONDITION; ROLLBACK AUTHORITY; INCIDENT OWNER; CLIENT NOTIFICATION]</w:t>
            </w:r>
          </w:p>
        </w:tc>
        <w:tc>
          <w:tcPr>
            <w:tcW w:type="dxa" w:w="3728"/>
          </w:tcPr>
          <w:p>
            <w:pPr>
              <w:spacing w:after="80"/>
            </w:pPr>
            <w:r>
              <w:rPr>
                <w:sz w:val="20"/>
              </w:rPr>
            </w:r>
          </w:p>
        </w:tc>
        <w:tc>
          <w:tcPr>
            <w:tcW w:type="dxa" w:w="3728"/>
          </w:tcPr>
          <w:p>
            <w:pPr>
              <w:spacing w:after="80"/>
            </w:pPr>
            <w:r>
              <w:rPr>
                <w:sz w:val="20"/>
              </w:rPr>
            </w:r>
          </w:p>
        </w:tc>
      </w:tr>
      <w:tr>
        <w:trPr>
          <w:cantSplit/>
        </w:trPr>
        <w:tc>
          <w:tcPr>
            <w:tcW w:type="dxa" w:w="3728"/>
          </w:tcPr>
          <w:p>
            <w:pPr>
              <w:spacing w:after="80"/>
            </w:pPr>
            <w:r>
              <w:rPr>
                <w:sz w:val="20"/>
              </w:rPr>
              <w:t>Model and workflow changes</w:t>
            </w:r>
          </w:p>
        </w:tc>
        <w:tc>
          <w:tcPr>
            <w:tcW w:type="dxa" w:w="3728"/>
          </w:tcPr>
          <w:p>
            <w:pPr>
              <w:spacing w:after="80"/>
            </w:pPr>
            <w:r>
              <w:rPr>
                <w:sz w:val="20"/>
              </w:rPr>
              <w:t>[CHANGE NOTICE; BUYER APPROVAL; REGRESSION CASES; DISABLE SWITCH]</w:t>
            </w:r>
          </w:p>
        </w:tc>
        <w:tc>
          <w:tcPr>
            <w:tcW w:type="dxa" w:w="3728"/>
          </w:tcPr>
          <w:p>
            <w:pPr>
              <w:spacing w:after="80"/>
            </w:pPr>
            <w:r>
              <w:rPr>
                <w:sz w:val="20"/>
              </w:rPr>
            </w:r>
          </w:p>
        </w:tc>
        <w:tc>
          <w:tcPr>
            <w:tcW w:type="dxa" w:w="3728"/>
          </w:tcPr>
          <w:p>
            <w:pPr>
              <w:spacing w:after="80"/>
            </w:pPr>
            <w:r>
              <w:rPr>
                <w:sz w:val="20"/>
              </w:rPr>
            </w:r>
          </w:p>
        </w:tc>
      </w:tr>
      <w:tr>
        <w:trPr>
          <w:cantSplit/>
        </w:trPr>
        <w:tc>
          <w:tcPr>
            <w:tcW w:type="dxa" w:w="3728"/>
          </w:tcPr>
          <w:p>
            <w:pPr>
              <w:spacing w:after="80"/>
            </w:pPr>
            <w:r>
              <w:rPr>
                <w:sz w:val="20"/>
              </w:rPr>
              <w:t>Billing and acceptance</w:t>
            </w:r>
          </w:p>
        </w:tc>
        <w:tc>
          <w:tcPr>
            <w:tcW w:type="dxa" w:w="3728"/>
          </w:tcPr>
          <w:p>
            <w:pPr>
              <w:spacing w:after="80"/>
            </w:pPr>
            <w:r>
              <w:rPr>
                <w:sz w:val="20"/>
              </w:rPr>
              <w:t>[AUTOMATED CONTACT UNIT; INCLUDED ALLOWANCE; OVERAGE; PILOT PASS CRITERIA]</w:t>
            </w:r>
          </w:p>
        </w:tc>
        <w:tc>
          <w:tcPr>
            <w:tcW w:type="dxa" w:w="3728"/>
          </w:tcPr>
          <w:p>
            <w:pPr>
              <w:spacing w:after="80"/>
            </w:pPr>
            <w:r>
              <w:rPr>
                <w:sz w:val="20"/>
              </w:rPr>
            </w:r>
          </w:p>
        </w:tc>
        <w:tc>
          <w:tcPr>
            <w:tcW w:type="dxa" w:w="3728"/>
          </w:tcPr>
          <w:p>
            <w:pPr>
              <w:spacing w:after="80"/>
            </w:pPr>
            <w:r>
              <w:rPr>
                <w:sz w:val="20"/>
              </w:rPr>
            </w:r>
          </w:p>
        </w:tc>
      </w:tr>
    </w:tbl>
    <w:p/>
    <w:p>
      <w:r>
        <w:t>Ask the provider to demonstrate an approval-required action, an unavailable human recipient and access revocation in the limited pilot. Keep outcomes blank until observed. Agree who can stop automation and how open tickets return to a named human owner.</w:t>
      </w:r>
    </w:p>
    <w:p>
      <w:pPr>
        <w:pStyle w:val="Heading1"/>
      </w:pPr>
      <w:r>
        <w:t>Illustrative buyer brief - replace every assumption</w:t>
      </w:r>
    </w:p>
    <w:p>
      <w:r>
        <w:t>Invented example, not a provider result or recommended staffing level: an MSP with 200 monitored endpoints needs weekday coverage from 18:00 to 08:00 in America/New_York. It retains change approvals and daytime escalations. The pilot uses one nonproduction tenant. The provider must define handoff ownership, severity and five SLA clocks. No vendor, rate or performance is assumed.</w:t>
      </w:r>
    </w:p>
    <w:sectPr w:rsidR="00FC693F" w:rsidRPr="0006063C" w:rsidSect="00034616">
      <w:headerReference w:type="default" r:id="rId9"/>
      <w:footerReference w:type="default" r:id="rId10"/>
      <w:pgSz w:w="16838" w:h="11906" w:orient="landscape"/>
      <w:pgMar w:top="907" w:right="964" w:bottom="907"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t>mspshortlist.com | Free to adapt for your own procurement</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r>
      <w:t>MSP Shortlist | Blank procurement request</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40"/>
    </w:pPr>
    <w:rPr>
      <w:rFonts w:ascii="Arial" w:hAnsi="Arial"/>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rial" w:hAnsi="Arial"/>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MSP outsourcing RFP template</dc:title>
  <dc:subject>Blank procurement request, revision 1.2</dc:subject>
  <dc:creator>MSP Shortlist</dc:creator>
  <cp:keywords/>
  <dc:description>generated by python-docx</dc:description>
  <cp:lastModifiedBy/>
  <cp:revision>1</cp:revision>
  <dcterms:created xsi:type="dcterms:W3CDTF">2026-10-16T18:11:45Z</dcterms:created>
  <dcterms:modified xsi:type="dcterms:W3CDTF">2026-10-18T21:04:49Z</dcterms:modified>
  <cp:category/>
</cp:coreProperties>
</file>